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812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81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81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81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812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____________ № 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left="5245"/>
        <w:jc w:val="right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«Развитие молодежной политики в Новосибирском районе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numPr>
          <w:ilvl w:val="0"/>
          <w:numId w:val="13"/>
        </w:num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программы Новосибирского района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«Развитие молодежной политики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Новосибирском районе Новосибирской области»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6028"/>
      </w:tblGrid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содержание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Новосибирского района Новосибирской области «Развитие молодежной политики в Новосибирском районе Новосибирской области на 2022-2024 годы» (далее - Программа).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left="5"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Бюджетный кодекс Российской Федерации.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left="5"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Федеральный закон от 06.10.2003 г. № 131-ФЗ «Об общих принципах организации местного самоуправления в Российской Федерации».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left="5"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Федеральный закон "О молодежной политике в Российской Федерации" от 30.12.2020 N 489-ФЗ.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left="5"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 Устав Новосибирского района Новосибирской области.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left="5"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Новосибирского района Новосибирской области от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25.04.2023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г.</w:t>
            </w:r>
            <w: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-па «Об утверждении Порядка формирования и реализации муниципальных программ Новосибирского района Новосибирской области».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(далее 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Новосибирского района Новосибирской области Гридин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72"/>
        </w:trPr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Новосибирского района Новосибирской области (далее – район).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Программы: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Создание условий для повышения привлекательности рабочих профессий, содействие профессиональному определению молодежи.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Развитие социальной активности молодежи, вовлечение молодежи в социальную практику, воспитание гражданской ответственности, поддержка патриотического воспитания граждан, деятельности общественных организаций, объединений.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 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родительства.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Формирование условий для развития в молодежной среде добровольчества и волонтерства.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 Создание условий для развития творческого потенциала молодежи района.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 Стимулирование к повышению эффективности деятельности муниципальных образований района в сфере реализации молодежной политики.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 Развитие инфраструктуры молодежной политики на территории муниципальных образований района.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муниципальной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Количество молодежи, охваченной мероприятиями по повышению привлекательности рабочих профессий, содействию профессиональному определению молодежи.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молодежи, вовлеченной в общественную жизнь района через деятельность молодежных общественных организаций, советов, территориальных общественных самоуправлений.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Средний ежемесячный охват людей посредством социальных сетей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«интернет» о мероприятиях молодежной политики.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 Количество молодых людей, участвующих в деятельности патриотических клубов, объединений, охваченных мероприятиями духовно-нравственной, патриотической направленности.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 Доля молодежи, вовлеченной в мероприятия по формированию принципов здорового образа жизни, профилактика асоциальных явлений в молодежной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среде, профилактика употребления наркотических и психотропных веществ от числа молодежи в районе, принявшего участие в мероприятиях 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 Доля молодых семей, включенных в работу клубов молодых семей и организованные формы семейного досуга от числа молодых семей, принявших участие в мероприятиях 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 Количество молодежи, вовлеченной в волонтерскую деятельность и добровольческие проекты, в рамках 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Количество молодежи, вовлеченной в творческую деятельность и проекты, направленные на развитие творческого потенциала молодежи, в рамках Программы.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Доля муниципальных образований района, набравших более 50% возможных баллов по итогам рейтинга реализации молодежной политики в отчетном периоде.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Общее количество инфраструктурных молодежных площадок.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2022-2027 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реализации программы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и источники финансирования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бюджетов всех уровней составит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20 240,9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2 492,8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3 363,0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8555,1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Новосибирского района: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19 996,2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2 492,8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3 363,0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8310,5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муниципальных образований Новосибирского района Новосибирской области - 244,6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.*, в том числе: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244,6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/>
              <w:ind w:right="150"/>
              <w:jc w:val="both"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.*.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адрес размещения муниципальной программы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http://nsr.nso.ru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Обоснование необходимости разработки Программы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Новосибирский район Новосибирской области (далее - район) является одним из самых молодежных районов Новосибирской области, в котором живут, работают и учатся 35 703 человек в возрасте от 14 до 35 лет или 24,1 % населения.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целью молодежной политики является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цели осуществляется через реализацию молодежных проектов: «Школа подготовки грантополучателя», «Конк</w:t>
      </w:r>
      <w:r>
        <w:rPr>
          <w:rFonts w:ascii="Times New Roman" w:hAnsi="Times New Roman"/>
          <w:color w:val="000000"/>
          <w:sz w:val="28"/>
          <w:szCs w:val="28"/>
        </w:rPr>
        <w:t xml:space="preserve">урс поддержки молодежных инициатив», «Межрайонный кубок КВН среди работающей молодежи», «Медиа-школа», «Фестиваль здорового образа жизни», «Снежный десант», проектов по патриотическому воспитанию, инфраструктурного проекта «Открытые пространства» и другие.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и мероприятия Прог</w:t>
      </w:r>
      <w:r>
        <w:rPr>
          <w:rFonts w:ascii="Times New Roman" w:hAnsi="Times New Roman"/>
          <w:color w:val="000000"/>
          <w:sz w:val="28"/>
          <w:szCs w:val="28"/>
        </w:rPr>
        <w:t xml:space="preserve">раммы изменяются в зависимости от актуальности тех или иных направлений ее реализации в регионе, а также потребностей самой молодежи. До 2019 года программно-целевой метод при реализации молодежной политики не осуществлялся, мероприятия носили не системный</w:t>
      </w:r>
      <w:r>
        <w:rPr>
          <w:rFonts w:ascii="Times New Roman" w:hAnsi="Times New Roman"/>
          <w:color w:val="000000"/>
          <w:sz w:val="28"/>
          <w:szCs w:val="28"/>
        </w:rPr>
        <w:t xml:space="preserve">, а ситуационный характер. В 2019 году началась реализация муниципальной программы Новосибирского района Новосибирской области «Развитие молодежной политики в Новосибирском районе Новосибирской области на 2019-2021 годы», утвержденной постановлением 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Новосибирского района Новосибирской области от 21.12.2018 г. № 1410-па. Реализация молодежной политики и системный подход, финансирование проводимых мероприятий позволяет достичь высоких результатов в сфере молодежной политики на территории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Актуальные направления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формируются исходя из анализа планов работы на год учреждений, подведомственных управлению молодежной политики министерства образования Новосибирской области, а также по итогам заседания Совета по молодежной политике при Губернаторе Новосибирской области.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целевых индикаторов, определяющих деятельность по реализации молодежной политики, показывает, что условия, обеспечивающ</w:t>
      </w:r>
      <w:r>
        <w:rPr>
          <w:rFonts w:ascii="Times New Roman" w:hAnsi="Times New Roman"/>
          <w:color w:val="000000"/>
          <w:sz w:val="28"/>
          <w:szCs w:val="28"/>
        </w:rPr>
        <w:t xml:space="preserve">ие поддержку и развитие молодежи, создаются на межведомственной основе и охватывают все возрастные и целевые группы молодежи (учащиеся, студенты, работающая молодежь; социально-активная молодежь; молодежь с социально-рискованным поведением; молодые семьи).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Ежегодные доклады управления по работе с органами местного самоуправления, общественными организациями и молодежной политики и оценка реализации молодежной политики на территории района, а также р</w:t>
      </w:r>
      <w:r>
        <w:rPr>
          <w:rFonts w:ascii="Times New Roman" w:hAnsi="Times New Roman"/>
          <w:color w:val="000000"/>
          <w:sz w:val="28"/>
          <w:szCs w:val="28"/>
        </w:rPr>
        <w:t xml:space="preserve">ейтинг молодежной политики Новосибирской области позволяют сделать выводы, что охват целевой аудитории ежегодно увеличивается. Наблюдается тенденция роста вовлеченности целевой аудитории, что обуславливается использованием новых форм работы с молодежью и р</w:t>
      </w:r>
      <w:r>
        <w:rPr>
          <w:rFonts w:ascii="Times New Roman" w:hAnsi="Times New Roman"/>
          <w:color w:val="000000"/>
          <w:sz w:val="28"/>
          <w:szCs w:val="28"/>
        </w:rPr>
        <w:t xml:space="preserve">еализацией актуальных проектов.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Исследование действующих направлений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ы выявило ряд трудностей в реализации молодежной политики, гражданско-патриотическом воспитании, становлении профессиональных навыков и работе с институтом молодой семьи, что обуславливается недостаточным вниманием к ряду инициатив молодежи и их ожиданиям.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реализации Программы общий охват молодежи мероприятиями молодежной политики увеличиться от общего числа молодежи в районе.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Цели, задачи и важнейшие целевые индикаторы Программы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Целью Программы является: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Достижение цели обеспечивается за счет решения следующих ключевых задач: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создание условий для повышения привлекательности рабочих профессий, содействие профессиональному определению молодежи;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развитие социальной активности молодежи, вовлечение молодежи в социальную практику, воспитание гражданской ответственности, поддержка патриотического воспитания граждан, деятельности общественных организаций, объединений;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родительства;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формирование условий для развития в молодежной среде добровольчества и волонтерства;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развития творческого потенциала молодежи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стимулирование к повышению эффективности деятельности муниципальных образований района в сфере молодежной политики.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инфраструктурных площадок для проведения досуга молодежи.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Целевые </w:t>
      </w:r>
      <w:r>
        <w:rPr>
          <w:rFonts w:ascii="Times New Roman" w:hAnsi="Times New Roman"/>
          <w:color w:val="000000"/>
          <w:sz w:val="28"/>
          <w:szCs w:val="28"/>
        </w:rPr>
        <w:t xml:space="preserve">индикаторы Программы приведены в Приложении 1 «Цели, задачи и целевые индикаторы муниципальной программы «Развитие молодежной политики в Новосибирском районе Новосибирской области» к Программе.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Основные мероприятия и финансовое обеспечение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Выбор программных мероприятий обусловлен целью и задачами Программы и сформирован с учетом современных трендов развития молодежной политики региона.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основным программным мероприятиям, запланированным к реализации в рамках Программы, относятся: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Организация и проведение мероприятий по повышению привлекательности рабочих профессий, содействию профессиональному определению молодежи в формах семинаров, конкурсов, деловых встреч.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форума работающей молодежи;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межрайонного Кубка КВН среди команд работающей молодежи Новосибирской области;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открытого конкурса профессионального мастерства среди представителей молодежи Новосибирской области;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медиа-проекта «</w:t>
      </w:r>
      <w:r>
        <w:rPr>
          <w:rFonts w:ascii="Times New Roman" w:hAnsi="Times New Roman"/>
          <w:color w:val="000000"/>
          <w:sz w:val="28"/>
          <w:szCs w:val="28"/>
        </w:rPr>
        <w:t xml:space="preserve">PROведу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Организация и прове</w:t>
      </w:r>
      <w:r>
        <w:rPr>
          <w:rFonts w:ascii="Times New Roman" w:hAnsi="Times New Roman"/>
          <w:color w:val="000000"/>
          <w:sz w:val="28"/>
          <w:szCs w:val="28"/>
        </w:rPr>
        <w:t xml:space="preserve">дение мероприятий, направленных на развитие социальной активности молодежи, вовлечение молодежи в социальную практику, воспитание гражданской ответственности, поддержку патриотического воспитания граждан, деятельности общественных организаций, объединений.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фестиваля выпускников Новосибирского района «Шаг вперед»;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школы подготовки грантополучателя;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конкурса поддержки молодежных инициатив;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мероприятий, приуроченных к памятным датам РФ и государственным праздникам;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мероприятий федерального проекта «Диалог на равных».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Организация и проведение мероприятий, направленных на формирование у подростков и молодежи принципов здорового образа жизни, профилактику асоциальных явлений в молодежной среде, профилактику употребления наркотических и психотропных веществ.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фестиваля здорового образа жизни;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открытых соревнований Новосибирского района «Спасатели Малибу»;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зимнего фестиваля молодежи Новосибирского района «Давай вставай»;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чемпионата по инновационным видам спорта среди молодежи Новосибирского района;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мероприятия по профилактике наркомании и распространения ВИЧ-инфекции;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мероприятия по теме профилактики экстремизма, радикализации и деструктивного информационно-психологического воздействия на молодеж</w:t>
      </w:r>
      <w:r>
        <w:rPr>
          <w:rFonts w:ascii="Times New Roman" w:hAnsi="Times New Roman"/>
          <w:color w:val="000000"/>
          <w:sz w:val="28"/>
          <w:szCs w:val="28"/>
        </w:rPr>
        <w:t xml:space="preserve">ь;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туристического слета «Сусанин там не был»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Организация и проведение мероприятий, направленных на 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родительства.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фестиваля молодых семей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Организация и проведение мероприятий, направленных на формирование условий для развития в молодежной среде добровольчества и волонтерства.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акции «Снежный десант»;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форума волонтеров Новосибирского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Открытого районного форума молодежи;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межведомственного проекта «Школа подготовки вожатых»;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эко-фестиваля «Чистые игры».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Создание условий для развития творческого потенциала молодежи района.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конкурса на звание «Мисс Новосибирского района»;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фестиваля творческой молодежи Новосибирского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районного этапа школьной лиги КВН «Весенний Кубок КВН Новосибирского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Стимулирование к повышению эффективности деятельности муниципальных образований района в сфере молодежной политики.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мониторинга реализации молодежной политики в муниципальных образованиях Новосибирского района Новосибирской области;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проведение обучения для специалистов муниципальных образований Новосибирского района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   ремонт молодежного центра р.п.Краснообск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межбюджетных трансфертов бюджетам поселений на период с 2022 по 2027 годы составит 5 694,0 </w:t>
      </w:r>
      <w:r>
        <w:rPr>
          <w:rFonts w:ascii="Times New Roman" w:hAnsi="Times New Roman"/>
          <w:color w:val="000000"/>
          <w:sz w:val="28"/>
          <w:szCs w:val="28"/>
        </w:rPr>
        <w:t xml:space="preserve">тыс.руб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Развитие инфраструктурных площадок для проведения досуга молодежи.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данного направления планируются следующие мероприятия: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</w:t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ведение районного инфраструктурного проекта «Открытые пространства».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молодежи о потенциальных возможностях развития осуществляется через средства массовой информации района, а также социальные сети в сети Интернет.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мероприятиях (конкурсы, игры, проекты, акции) утверждаются администрацией района или Главой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tLeast"/>
        <w:widowControl w:val="off"/>
      </w:pPr>
      <w:r>
        <w:rPr>
          <w:rFonts w:ascii="Times New Roman" w:hAnsi="Times New Roman"/>
          <w:color w:val="000000"/>
          <w:sz w:val="28"/>
          <w:szCs w:val="28"/>
        </w:rPr>
        <w:t xml:space="preserve">Условия, величина, порядок выделения финансовых средств на предоставление услуг по обеспечению и проведению мероприятий и поставку товаров определяются администрацией района в порядке, установленном законодательством Российской Федерации.</w:t>
      </w:r>
      <w:r>
        <w:t xml:space="preserve"> </w:t>
      </w:r>
      <w:r/>
    </w:p>
    <w:p>
      <w:pPr>
        <w:contextualSpacing/>
        <w:ind w:firstLine="708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программных мероприятий, обеспечивающих решение задач и достижение цели Программы, представлен </w:t>
      </w:r>
      <w:r>
        <w:rPr>
          <w:rFonts w:ascii="Times New Roman" w:hAnsi="Times New Roman"/>
          <w:sz w:val="28"/>
          <w:szCs w:val="28"/>
        </w:rPr>
        <w:t xml:space="preserve">в Приложении 2 </w:t>
      </w:r>
      <w:r>
        <w:rPr>
          <w:rFonts w:ascii="Times New Roman" w:hAnsi="Times New Roman"/>
          <w:color w:val="000000"/>
          <w:sz w:val="28"/>
          <w:szCs w:val="28"/>
        </w:rPr>
        <w:t xml:space="preserve">к Программе.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suppressLineNumbers w:val="0"/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за счет средств всех уровней на период с 2022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2027 годы составит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20 240,9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тыс.руб., в том числе:</w:t>
      </w:r>
      <w:r/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бюджет Новосибирского района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19 996,2 </w:t>
      </w:r>
      <w:r>
        <w:rPr>
          <w:rFonts w:ascii="Times New Roman" w:hAnsi="Times New Roman"/>
          <w:color w:val="000000"/>
          <w:sz w:val="28"/>
          <w:szCs w:val="28"/>
        </w:rPr>
        <w:t xml:space="preserve">тыс.руб</w:t>
      </w:r>
      <w:r>
        <w:rPr>
          <w:rFonts w:ascii="Times New Roman" w:hAnsi="Times New Roman"/>
          <w:color w:val="000000"/>
          <w:sz w:val="28"/>
          <w:szCs w:val="28"/>
        </w:rPr>
        <w:t xml:space="preserve">.;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бюджет муниципальных образований Новосибирского района - 244,6 </w:t>
      </w:r>
      <w:r>
        <w:rPr>
          <w:rFonts w:ascii="Times New Roman" w:hAnsi="Times New Roman"/>
          <w:color w:val="000000"/>
          <w:sz w:val="28"/>
          <w:szCs w:val="28"/>
        </w:rPr>
        <w:t xml:space="preserve">тыс.руб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V. Механизм реализации Программы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программных мероприятий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УРОМСООиМП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межведомственного взаимодействия структурных подразделений администрации района и подведомственных учреждений администрации района.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субъектами реализации программы являются администрация района, общественность, представители бизнеса, иные юридические и физические лица, молодежь, средства массовой информации.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 динамику развития российского общества, предполагается ежегодная корректировка и доработка мероприятий программы.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контроля за реализацией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разработчик ежегодно до 1 марта года, следующего за отчетным, представляет в управление экономического развития, промышленности и торговли администрации района в соответствии с Порядком формирования и реализации муниципальных программ Новосибирского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Новосибирской области, утвержденного постановлением администрации Новосибирского района Новосибирской области от 25.04.2023 г. № 882-па «Об утверждении Порядка формирования и реализации муниципальных программ Новосибирского района Новосибирской области»: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отчет о ходе реализации (о реализации) муниципальной программы, согласованный с отделом учета и отчетности администрации района;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информацию об оценке эффективности реализации муниципальной программы.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VI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Ожидаемые конечные результаты реализации Программы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tLeast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реализации Программы общий охват молодежи мероприятиями молодежной политики увеличиться не менее чем до 51 % от общего числа молодежи в районе.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позволит достичь следующих результатов: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Увеличение количества молодежи, охваченной мероприятиями по повышению привлекательности рабочих профессий, содействию профессиональному определению молодежи в 2 раза.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Увеличение количества молодежи, вовлеченной в общественную жизнь района через деятельность молодежных общественных организаций, советов, территориальных общественных самоуправлений в 2,5 раза.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Увеличение среднего ежемесячного охвата людей посредством социальных сетей в информационно-телекоммуникационной сети «Интернет» о мероприятиях молодежной политики в 1,6 раза.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Увеличение количества молодых людей, участвующих в деятельности патриотических клубов, объединений, охваченных мероприятиями духовно-нравственной, патриотической направленности в 1,8 раза.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Увеличение доли молодежи, вовлеченной в ме</w:t>
      </w:r>
      <w:r>
        <w:rPr>
          <w:rFonts w:ascii="Times New Roman" w:hAnsi="Times New Roman"/>
          <w:color w:val="000000"/>
          <w:sz w:val="28"/>
          <w:szCs w:val="28"/>
        </w:rPr>
        <w:t xml:space="preserve">роприятия по формированию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 от числа молодежи в районе, принявшего участие в мероприятиях Программы до 39 %.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Увеличение доли молодых семей, включенных в работу клубов молодых семей и организованные формы семейного досуга от числа молодых семей, принявших участие в мероприятиях Программы до 35 %.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Увеличение количества молодежи, вовлеченной в волонтерскую деятельность и добровольческие проекты, в рамках Программы до 40 %.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Увеличение количества молодежи, вовлеченной в творческую деятельность и проекты, направленные на развитие творческого потенциала молодежи, в рамках Программы до 38 %.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Увеличение доли муниципальных образований района, набравших более 50 % возможных баллов по итогам рейтинга реализации молодежной политики в отчетном периоде до 80 %.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Увеличение общего количества инфраструктурных молодежных площадок в 4 раза.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tLeas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3" w:right="567" w:bottom="851" w:left="1418" w:header="426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contextualSpacing/>
        <w:ind w:left="10348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348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348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молодежной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348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Новосибирском районе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348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молодежной политики в Новосибирском районе Новосибирской области»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167" w:type="dxa"/>
        <w:tblInd w:w="3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684"/>
        <w:gridCol w:w="3788"/>
        <w:gridCol w:w="1324"/>
        <w:gridCol w:w="850"/>
        <w:gridCol w:w="1276"/>
        <w:gridCol w:w="851"/>
        <w:gridCol w:w="1134"/>
        <w:gridCol w:w="1559"/>
        <w:gridCol w:w="992"/>
        <w:gridCol w:w="992"/>
      </w:tblGrid>
      <w:tr>
        <w:trPr>
          <w:tblHeader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Цель, задача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Целевой индикатор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7"/>
            <w:tcW w:w="71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Значение целевого индикатора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  <w:tblHeader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W w:w="6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с разбивкой по годам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Header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8"/>
            <w:tcW w:w="12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outlineLvl w:val="3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Формирование условий для успешного развития потенциала молодежи в интересах социально-экономического,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outlineLvl w:val="3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общественно-политического и культурного развития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Создание условий для повышения привлекательности рабочих профессий, содействие профессиональному определению молодежи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молодежи, охваченной мероприятиями по повышению привлекательности рабочих профессий, содействию профессиональному определению молодежи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1 005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1 206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1 447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1 736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1996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2181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Развитие социальной активности молодежи, вовлечение молодежи в социальную практику, воспитание гражданской ответственности, поддержка патриотического воспитания граждан, деятельности общественных организаций, объединений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молодежи, вовлеченной в общественную жизнь района через деятельность молодежных общественных организаций, советов, территориальных общественных самоуправлений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760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1 038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1 317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1 596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1896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2196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2496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ежемесячный охват людей посредством социальных сетей в информационно-телекоммуникационной сети «интернет» о мероприятиях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5 950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6 800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7 650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8450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9300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10 150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молодых людей, участвующих в деятельности патриотических клубов, объединений, охваченных мероприятиями духовно-нравственной, патриотической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1 033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1 136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1 568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2292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0"/>
        </w:trPr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молодежи, вовлече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нной в мероприятия по формированию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 от числа молодежи в районе, принявшего участие в мероприятиях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23"/>
        </w:trPr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родительства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contextualSpacing/>
              <w:ind w:right="13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молодых семей, включенных в работу клубов молодых семей и организованные формы семейного досуга от числа молодых семей, принявших участие в мероприятиях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Формирование условий для развития в молодежной среде добровольчества и волонтерства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молодежи, вовлеченной в волонтерскую деятельность и добровольческие проекты, в рамках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5 718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6 289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6 860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7 435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7820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8210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8430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Создание условий для развития творческого потенциала молодежи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молодежи, вовлеченной в творческую деятельность и проекты, направленные на развитие творческого потенциала молодежи, в рамках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4 692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5 161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5 630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6 099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6499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6899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7299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Стимулирование к повышению эффективности деятельности муниципальных образований района в сфере молодежной политики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Доля муниципальных образований района, набравших более 50% возможных баллов по итогам рейтинга реализации молодежной политики в отчетном периоде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Развитие инфраструктурных площадок для проведения досуга молодежи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7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Общее количество инфраструктурных молодежных площадок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3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шт.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</w:tr>
    </w:tbl>
    <w:p>
      <w:pPr>
        <w:contextualSpacing/>
        <w:ind w:left="9072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9072"/>
        <w:spacing w:after="0" w:line="240" w:lineRule="atLeast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67" w:bottom="568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206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206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206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молодежной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206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Новосибирском районе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10206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after="0" w:line="240" w:lineRule="atLeas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молодежной политики в Новосибирском районе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left="12472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тыс.руб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5167" w:type="dxa"/>
        <w:tblInd w:w="3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2506"/>
        <w:gridCol w:w="1715"/>
        <w:gridCol w:w="1055"/>
        <w:gridCol w:w="1009"/>
        <w:gridCol w:w="1134"/>
        <w:gridCol w:w="1134"/>
        <w:gridCol w:w="1134"/>
        <w:gridCol w:w="733"/>
        <w:gridCol w:w="1846"/>
        <w:gridCol w:w="2242"/>
      </w:tblGrid>
      <w:tr>
        <w:trPr>
          <w:tblHeader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Цель, задача, мероприятие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Показатель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W w:w="6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Значения показателей по годам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Всего по муниципальной программе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blHeader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 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/>
        </w:trPr>
        <w:tc>
          <w:tcPr>
            <w:tcW w:w="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Формирование условий для успешного развития потенциала молодежи в интересах социально-экономического,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общественно-политического и культурного развития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7"/>
        </w:trPr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 Создание условий для повышения привлекательности рабочих профессий, содействие профессиональному определению молодежи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форума работающей молодежи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794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межрайонного Кубка КВН среди команд работающей молодежи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98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конкурса профессионального мастерства среди представителей молодежи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222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2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медиа-проекта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PROведу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2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200, 0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 Развитие социальной активности молодежи, вовлечение молодежи в социальную практику, воспитание гражданской ответственности,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поддержка патриотического воспитания граждан, деятельности общественных организаций, объединений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фестиваля выпускников Новосибирского района «Шаг вперед»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tLeast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школы подготовки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грантополучателя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конкурса поддержки молодежных инициатив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477,5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2 277,5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477,5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2 277,5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районного этапа Всероссийской военно-спортивной игры «Победа»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56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1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мероприятий, приуроченных к памятным датам РФ и государственным праздникам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361,0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861,0</w:t>
            </w:r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22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361,0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360,0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861,0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</w:r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5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мероприятий федерального проекта «Диалог на равных»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27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77"/>
        </w:trPr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1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фестиваля здорового образа жизни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308,0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311,5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619,5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36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308,0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311,5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619,5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0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открытых соревнований Новосибирского района «Спасатели Малибу»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16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1.3.3</w:t>
            </w:r>
            <w:r/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зимнего фестиваля молодежи Новосибирского района «Давай вставай»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447,5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447,5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447,5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447,5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1.3.4</w:t>
            </w:r>
            <w:r/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чемпионата по инновационным видам спорта среди молодежи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16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1.3.5</w:t>
            </w:r>
            <w:r/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мероприятия по профилактике наркомании и распространения ВИЧ-инфекции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16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tcW w:w="66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1.3.6</w:t>
            </w:r>
            <w:r/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мероприятия по теме профилактики экстремизма,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радикализации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деструктивного информационно-психологического воздействия на молодежь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16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0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туристического слета военно-патриотических клубов «Сусанин там не был»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60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Мотофестиваля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Новосибирского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1.4. 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родительства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1.4.1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мероприятий проекта «Школа семейного общения»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затрат, в том числе*: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188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 Новосибирского района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68"/>
        </w:trPr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1.5. Формирование условий для развития в молодежной среде добровольчества 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волонтерства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5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акции «Снежный десант»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147,8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47,8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223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147,8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47,8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форума волонтеров Новосибирского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>
          <w:trHeight w:val="24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Открытого районного форума молодежи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Проведение межведомственного проекта «Школа подготовки вожатых»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5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эко-фестиваля «Чистые игры»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6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1.6. Создание условий для развития творческого потенциала молодежи района.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конкурса на звание «Мисс Новосибирского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фестиваля творческой молодежи Новосибирского района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/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33" w:type="dxa"/>
            <w:textDirection w:val="lrTb"/>
            <w:noWrap w:val="false"/>
          </w:tcPr>
          <w:p>
            <w:r/>
            <w:r/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12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районного этапа школьной лиги КВН «Весенний кубок КВН Новосибирского района»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Краса Новосибирского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1.7. Стимулирование к повышению эффективности деятельности муниципальных образований района в сфере молодежной политики.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реализации молодежной политики в муниципальных образованиях Новосибирского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146,0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146,0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90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1.7.2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обучения для специалистов муниципальных образований Новосибирского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90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8"/>
        </w:trPr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1.7.3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Ремонт молодежного центра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р.п.Краснообск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4 892,6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4 892,6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7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4 648,0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4 648,0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7"/>
        </w:trPr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муниципальных образований Новосибирского района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244,6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244,6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11"/>
            <w:tcW w:w="151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1.8. Развитие инфраструктурных площадок для проведения досуга молодежи.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инфраструктурного проекта «Открытые пространства»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Сумма затрат, в том числе*: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179,0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1 17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УРОМСООиМП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179,0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245,0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1 17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Сумма затрат, в том числе: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2 492,8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3 363,0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8 555,1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5 830,0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20 240,9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Бюджет Новосибирского района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2 492,8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3 363,0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8 310,5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5 830,0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19 996,2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Бюджет муниципальных образований Новосибирского района Новосибирской области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244,6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244,6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22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40"/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tLeas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УРОМСООиМП</w:t>
      </w:r>
      <w:r>
        <w:rPr>
          <w:rFonts w:ascii="Times New Roman" w:hAnsi="Times New Roman"/>
          <w:sz w:val="28"/>
          <w:szCs w:val="28"/>
        </w:rPr>
        <w:t xml:space="preserve"> – 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4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8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val="ru-RU"/>
      </w:rPr>
    </w:r>
    <w:r>
      <w:rPr>
        <w:rFonts w:ascii="Times New Roman" w:hAnsi="Times New Roman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0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3"/>
    <w:link w:val="737"/>
    <w:uiPriority w:val="10"/>
    <w:rPr>
      <w:sz w:val="48"/>
      <w:szCs w:val="48"/>
    </w:rPr>
  </w:style>
  <w:style w:type="character" w:styleId="708">
    <w:name w:val="Subtitle Char"/>
    <w:basedOn w:val="723"/>
    <w:link w:val="739"/>
    <w:uiPriority w:val="11"/>
    <w:rPr>
      <w:sz w:val="24"/>
      <w:szCs w:val="24"/>
    </w:rPr>
  </w:style>
  <w:style w:type="character" w:styleId="709">
    <w:name w:val="Quote Char"/>
    <w:link w:val="741"/>
    <w:uiPriority w:val="29"/>
    <w:rPr>
      <w:i/>
    </w:rPr>
  </w:style>
  <w:style w:type="character" w:styleId="710">
    <w:name w:val="Intense Quote Char"/>
    <w:link w:val="743"/>
    <w:uiPriority w:val="30"/>
    <w:rPr>
      <w:i/>
    </w:rPr>
  </w:style>
  <w:style w:type="character" w:styleId="711">
    <w:name w:val="Footnote Text Char"/>
    <w:link w:val="878"/>
    <w:uiPriority w:val="99"/>
    <w:rPr>
      <w:sz w:val="18"/>
    </w:rPr>
  </w:style>
  <w:style w:type="character" w:styleId="712">
    <w:name w:val="Endnote Text Char"/>
    <w:link w:val="881"/>
    <w:uiPriority w:val="99"/>
    <w:rPr>
      <w:sz w:val="20"/>
    </w:rPr>
  </w:style>
  <w:style w:type="paragraph" w:styleId="71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714">
    <w:name w:val="Heading 1"/>
    <w:basedOn w:val="713"/>
    <w:next w:val="713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99"/>
    <w:qFormat/>
    <w:pPr>
      <w:contextualSpacing/>
      <w:ind w:left="720"/>
      <w:spacing w:after="200" w:line="276" w:lineRule="auto"/>
    </w:pPr>
  </w:style>
  <w:style w:type="paragraph" w:styleId="736">
    <w:name w:val="No Spacing"/>
    <w:uiPriority w:val="1"/>
    <w:qFormat/>
    <w:rPr>
      <w:lang w:eastAsia="zh-CN"/>
    </w:rPr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3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46" w:customStyle="1">
    <w:name w:val="Header Char"/>
    <w:uiPriority w:val="99"/>
  </w:style>
  <w:style w:type="paragraph" w:styleId="747">
    <w:name w:val="Footer"/>
    <w:basedOn w:val="713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48" w:customStyle="1">
    <w:name w:val="Footer Char"/>
    <w:uiPriority w:val="99"/>
  </w:style>
  <w:style w:type="paragraph" w:styleId="74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7">
    <w:name w:val="Hyperlink"/>
    <w:uiPriority w:val="99"/>
    <w:rPr>
      <w:rFonts w:cs="Times New Roman"/>
      <w:color w:val="0563c1"/>
      <w:u w:val="single"/>
    </w:rPr>
  </w:style>
  <w:style w:type="paragraph" w:styleId="878">
    <w:name w:val="footnote text"/>
    <w:basedOn w:val="713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3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3"/>
    <w:next w:val="713"/>
    <w:uiPriority w:val="39"/>
    <w:unhideWhenUsed/>
    <w:pPr>
      <w:spacing w:after="57"/>
    </w:pPr>
  </w:style>
  <w:style w:type="paragraph" w:styleId="885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6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7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8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9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0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1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2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  <w:rPr>
      <w:lang w:eastAsia="zh-CN"/>
    </w:rPr>
  </w:style>
  <w:style w:type="paragraph" w:styleId="894">
    <w:name w:val="table of figures"/>
    <w:basedOn w:val="713"/>
    <w:next w:val="713"/>
    <w:uiPriority w:val="99"/>
    <w:unhideWhenUsed/>
    <w:pPr>
      <w:spacing w:after="0"/>
    </w:pPr>
  </w:style>
  <w:style w:type="character" w:styleId="895">
    <w:name w:val="annotation reference"/>
    <w:uiPriority w:val="99"/>
    <w:semiHidden/>
    <w:unhideWhenUsed/>
    <w:rPr>
      <w:sz w:val="16"/>
      <w:szCs w:val="16"/>
    </w:rPr>
  </w:style>
  <w:style w:type="paragraph" w:styleId="896">
    <w:name w:val="annotation text"/>
    <w:basedOn w:val="713"/>
    <w:link w:val="897"/>
    <w:uiPriority w:val="99"/>
    <w:semiHidden/>
    <w:unhideWhenUsed/>
    <w:rPr>
      <w:sz w:val="20"/>
      <w:szCs w:val="20"/>
      <w:lang w:val="en-US"/>
    </w:rPr>
  </w:style>
  <w:style w:type="character" w:styleId="897" w:customStyle="1">
    <w:name w:val="Текст примечания Знак"/>
    <w:link w:val="896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98">
    <w:name w:val="Balloon Text"/>
    <w:basedOn w:val="713"/>
    <w:link w:val="89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99" w:customStyle="1">
    <w:name w:val="Текст выноски Знак"/>
    <w:link w:val="898"/>
    <w:uiPriority w:val="99"/>
    <w:semiHidden/>
    <w:rPr>
      <w:rFonts w:ascii="Segoe UI" w:hAnsi="Segoe UI" w:eastAsia="Calibr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  <w:rPr>
      <w:rFonts w:ascii="Calibri" w:hAnsi="Calibri" w:eastAsia="Calibri" w:cs="Times New Roman"/>
    </w:rPr>
  </w:style>
  <w:style w:type="character" w:styleId="901" w:customStyle="1">
    <w:name w:val="Нижний колонтитул Знак"/>
    <w:link w:val="747"/>
    <w:uiPriority w:val="99"/>
    <w:rPr>
      <w:rFonts w:ascii="Calibri" w:hAnsi="Calibri" w:eastAsia="Calibri" w:cs="Times New Roman"/>
    </w:rPr>
  </w:style>
  <w:style w:type="character" w:styleId="902" w:customStyle="1">
    <w:name w:val="Тема примечания Знак"/>
    <w:link w:val="903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903">
    <w:name w:val="annotation subject"/>
    <w:basedOn w:val="896"/>
    <w:next w:val="896"/>
    <w:link w:val="902"/>
    <w:uiPriority w:val="99"/>
    <w:semiHidden/>
    <w:unhideWhenUsed/>
    <w:pPr>
      <w:spacing w:line="240" w:lineRule="auto"/>
    </w:pPr>
    <w:rPr>
      <w:b/>
      <w:bCs/>
    </w:rPr>
  </w:style>
  <w:style w:type="character" w:styleId="904" w:customStyle="1">
    <w:name w:val="apple-converted-space"/>
  </w:style>
  <w:style w:type="character" w:styleId="905">
    <w:name w:val="Strong"/>
    <w:uiPriority w:val="22"/>
    <w:qFormat/>
    <w:rPr>
      <w:b/>
      <w:bCs/>
    </w:rPr>
  </w:style>
  <w:style w:type="paragraph" w:styleId="906" w:customStyle="1">
    <w:name w:val="Обычный (веб)1"/>
    <w:basedOn w:val="7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7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Эстер</dc:creator>
  <cp:revision>200</cp:revision>
  <dcterms:created xsi:type="dcterms:W3CDTF">2018-12-21T04:40:00Z</dcterms:created>
  <dcterms:modified xsi:type="dcterms:W3CDTF">2025-01-21T02:58:59Z</dcterms:modified>
  <cp:version>983040</cp:version>
</cp:coreProperties>
</file>