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right"/>
        <w:widowControl w:val="off"/>
        <w:rPr>
          <w:sz w:val="28"/>
        </w:rPr>
      </w:pPr>
      <w:r>
        <w:rPr>
          <w:sz w:val="28"/>
        </w:rPr>
        <w:t xml:space="preserve">ПРОЕКТ</w:t>
      </w:r>
      <w:r>
        <w:rPr>
          <w:sz w:val="28"/>
        </w:rPr>
      </w:r>
      <w:r>
        <w:rPr>
          <w:sz w:val="28"/>
        </w:rPr>
      </w:r>
    </w:p>
    <w:p>
      <w:pPr>
        <w:ind w:left="5812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</w:rPr>
      </w:pPr>
      <w:r>
        <w:rPr>
          <w:sz w:val="28"/>
        </w:rPr>
        <w:t xml:space="preserve">УТВЕРЖДЕНА</w:t>
      </w:r>
      <w:r>
        <w:rPr>
          <w:sz w:val="28"/>
        </w:rPr>
      </w:r>
      <w:r>
        <w:rPr>
          <w:sz w:val="28"/>
        </w:rPr>
      </w:r>
    </w:p>
    <w:p>
      <w:pPr>
        <w:ind w:left="5954"/>
        <w:jc w:val="center"/>
        <w:widowControl w:val="off"/>
        <w:rPr>
          <w:sz w:val="28"/>
        </w:rPr>
      </w:pPr>
      <w:r>
        <w:rPr>
          <w:sz w:val="28"/>
        </w:rPr>
        <w:t xml:space="preserve">постановлением администрации </w:t>
      </w:r>
      <w:r>
        <w:rPr>
          <w:sz w:val="28"/>
        </w:rPr>
        <w:t xml:space="preserve">Новосибирско</w:t>
      </w:r>
      <w:r>
        <w:rPr>
          <w:sz w:val="28"/>
        </w:rPr>
        <w:t xml:space="preserve">го района Новосибирской области</w:t>
      </w:r>
      <w:r>
        <w:rPr>
          <w:sz w:val="28"/>
        </w:rPr>
      </w:r>
      <w:r>
        <w:rPr>
          <w:sz w:val="28"/>
        </w:rPr>
      </w:r>
    </w:p>
    <w:p>
      <w:pPr>
        <w:ind w:left="5954"/>
        <w:jc w:val="center"/>
        <w:widowControl w:val="off"/>
        <w:rPr>
          <w:sz w:val="28"/>
        </w:rPr>
      </w:pPr>
      <w:r>
        <w:rPr>
          <w:sz w:val="28"/>
        </w:rPr>
        <w:t xml:space="preserve">От _________ № ________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5245"/>
        <w:jc w:val="right"/>
        <w:spacing w:line="240" w:lineRule="atLeas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МУНИЦИПАЛЬНАЯ ПРОГРАММА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Новосибирского района Новосибирской области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spacing w:line="240" w:lineRule="atLeast"/>
        <w:widowControl w:val="off"/>
        <w:rPr>
          <w:b/>
          <w:sz w:val="28"/>
        </w:rPr>
      </w:pPr>
      <w:r>
        <w:rPr>
          <w:b/>
          <w:sz w:val="28"/>
        </w:rPr>
        <w:t xml:space="preserve">«Поддержка социально ориентированных 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некоммерческих организаций»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widowControl w:val="off"/>
        <w:rPr>
          <w:b/>
          <w:sz w:val="28"/>
          <w:shd w:val="clear" w:color="auto" w:fill="ffd821"/>
        </w:rPr>
      </w:pPr>
      <w:r>
        <w:rPr>
          <w:b/>
          <w:sz w:val="28"/>
          <w:shd w:val="clear" w:color="auto" w:fill="ffd821"/>
        </w:rPr>
      </w:r>
      <w:r>
        <w:rPr>
          <w:b/>
          <w:sz w:val="28"/>
          <w:shd w:val="clear" w:color="auto" w:fill="ffd821"/>
        </w:rPr>
      </w:r>
      <w:r>
        <w:rPr>
          <w:b/>
          <w:sz w:val="28"/>
          <w:shd w:val="clear" w:color="auto" w:fill="ffd821"/>
        </w:rPr>
      </w:r>
    </w:p>
    <w:p>
      <w:pPr>
        <w:contextualSpacing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I. 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муниципальной программы 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Новосибирского района Новосибирской области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spacing w:line="240" w:lineRule="atLeast"/>
        <w:widowControl w:val="off"/>
        <w:rPr>
          <w:b/>
          <w:sz w:val="28"/>
        </w:rPr>
      </w:pPr>
      <w:r>
        <w:rPr>
          <w:b/>
          <w:sz w:val="28"/>
        </w:rPr>
        <w:t xml:space="preserve"> «Поддержка социально ориентированных 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spacing w:line="240" w:lineRule="atLeast"/>
        <w:widowControl w:val="off"/>
        <w:rPr>
          <w:b/>
          <w:sz w:val="28"/>
        </w:rPr>
      </w:pPr>
      <w:r>
        <w:rPr>
          <w:b/>
          <w:sz w:val="28"/>
        </w:rPr>
        <w:t xml:space="preserve">некоммерческих организаций»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both"/>
        <w:spacing w:line="240" w:lineRule="atLeast"/>
        <w:widowControl w:val="off"/>
        <w:rPr>
          <w:b/>
          <w:sz w:val="28"/>
          <w:shd w:val="clear" w:color="auto" w:fill="ffd821"/>
        </w:rPr>
      </w:pPr>
      <w:r>
        <w:rPr>
          <w:b/>
          <w:sz w:val="28"/>
          <w:shd w:val="clear" w:color="auto" w:fill="ffd821"/>
        </w:rPr>
      </w:r>
      <w:r>
        <w:rPr>
          <w:b/>
          <w:sz w:val="28"/>
          <w:shd w:val="clear" w:color="auto" w:fill="ffd821"/>
        </w:rPr>
      </w:r>
      <w:r>
        <w:rPr>
          <w:b/>
          <w:sz w:val="28"/>
          <w:shd w:val="clear" w:color="auto" w:fill="ffd8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07"/>
        <w:gridCol w:w="58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Наименование разделов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Краткое содержание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Наименование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/>
            <w:bookmarkStart w:id="0" w:name="_Hlk122081039"/>
            <w:r>
              <w:t xml:space="preserve">«Поддержка социально ориентированных некоммерческих организаций» </w:t>
            </w:r>
            <w:bookmarkEnd w:id="0"/>
            <w:r>
              <w:t xml:space="preserve">(далее – муниципальная программа).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Основание для разработки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1. Бюджетный кодекс Российской Федерации.</w:t>
            </w:r>
            <w:r/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2. Федеральный закон от 12.01.1996 г. № 7-ФЗ «О некоммерческих организациях».</w:t>
            </w:r>
            <w:r/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3. 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закон от 20.03.2025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33-ФЗ «Об общих принципах организации местного самоуправления в единой системе публичной власти».</w:t>
            </w:r>
            <w:r/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4. Постановление Правительства Новосибирской области от 26.12.2018 г. № 570-п «Об утверждении государственной программы Новосибирской области</w:t>
            </w:r>
            <w:r/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«Развитие институтов региональной политики и гражданского общества в Новосибирской области».</w:t>
            </w:r>
            <w:r/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5. Устав Новосибирского района Новосибирской области.</w:t>
            </w:r>
            <w:r/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</w:pPr>
            <w:r>
              <w:t xml:space="preserve">6. </w:t>
            </w:r>
            <w:r>
              <w:t xml:space="preserve">Постановление администрации Новосибирского района Новосибирской области от 25.04.2023 г.                     № 882-па «Об утверждении Порядка формирования и реализации муниципальных программ Новосибирского района Новосибирской области».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Разработчик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Координатор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rPr>
                <w:szCs w:val="24"/>
              </w:rPr>
              <w:t xml:space="preserve">Заместитель главы администрации </w:t>
            </w:r>
            <w:r>
              <w:rPr>
                <w:rStyle w:val="880"/>
                <w:szCs w:val="24"/>
              </w:rPr>
              <w:t xml:space="preserve">Новосибирского</w:t>
            </w:r>
            <w:r>
              <w:rPr>
                <w:szCs w:val="24"/>
              </w:rPr>
              <w:t xml:space="preserve"> района Довгань Е.В.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Исполнитель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 (далее – Управление).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Цели и задачи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Цель муниципальной программы:</w:t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1. Оказание целевой поддержки социально ориентированным некоммерческим организациям (далее – СО НКО), осуществляющим деятельность на территории Новосибирского района Новоси</w:t>
            </w:r>
            <w:r>
              <w:t xml:space="preserve">бирской области (далее – Новосибирский район), формирование организационных, правовых, финансовых и социально-экономических условий для их деятельности, повышение заинтересованности и эффективности их участия в решении приоритетных задач местного значения.</w:t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Задачи программы:</w:t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1. Обеспечение финансовой и имущественной поддержки деятельности СО НКО.</w:t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2. Развитие информационной, консультационной и методической поддержки деятельности СО НКО.</w:t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3. Обеспечение взаимодействия органов местного самоуправления и общественных организаций в достижении общественного согласия и создании условий для социального и культурного развития Новосибирского района.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Целевые индикаторы муниципальной программы, выраженные в количественно измеримых показателях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ind w:right="132"/>
              <w:jc w:val="both"/>
              <w:widowControl w:val="off"/>
            </w:pPr>
            <w:r>
              <w:t xml:space="preserve">1. Количество СО НКО, получивших финансовую поддержку на реализацию социально значимых инициатив.</w:t>
            </w:r>
            <w:r/>
          </w:p>
          <w:p>
            <w:pPr>
              <w:contextualSpacing/>
              <w:ind w:right="132"/>
              <w:jc w:val="both"/>
              <w:widowControl w:val="off"/>
            </w:pPr>
            <w:r>
              <w:t xml:space="preserve">2. Количество реализованных на территории Новосибирского района социально значимых проектов.</w:t>
            </w:r>
            <w:r/>
          </w:p>
          <w:p>
            <w:pPr>
              <w:contextualSpacing/>
              <w:ind w:right="132"/>
              <w:jc w:val="both"/>
              <w:widowControl w:val="off"/>
            </w:pPr>
            <w:r>
              <w:t xml:space="preserve">3. Количество проведенных семинаров, направленных на повышение профессионализма СО НКО, задействованных в общественном секторе.</w:t>
            </w:r>
            <w:r/>
          </w:p>
          <w:p>
            <w:pPr>
              <w:contextualSpacing/>
              <w:ind w:right="132"/>
              <w:jc w:val="both"/>
              <w:widowControl w:val="off"/>
            </w:pPr>
            <w:r>
              <w:t xml:space="preserve">4. Количество представителей СО НКО, получивших бесплатные юридические консультации, консультации бухгалтера через организацию деятельности пункта бесплатной юридической консультации.</w:t>
            </w:r>
            <w:r/>
          </w:p>
          <w:p>
            <w:pPr>
              <w:contextualSpacing/>
              <w:ind w:right="132"/>
              <w:jc w:val="both"/>
              <w:widowControl w:val="off"/>
            </w:pPr>
            <w:r>
              <w:t xml:space="preserve">5. Количество СО НКО участников районных мероприятий в качестве соорганизаторов.</w:t>
            </w:r>
            <w:r/>
          </w:p>
          <w:p>
            <w:pPr>
              <w:contextualSpacing/>
              <w:ind w:right="132"/>
              <w:jc w:val="both"/>
              <w:widowControl w:val="off"/>
            </w:pPr>
            <w:r>
              <w:t xml:space="preserve">6.Количество проведенных СО НКО общественных акций и мероприятий.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Сроки (этапы) реализации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2026 – 2030 годы.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Этапы реализации программы не предусмотрены.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Объем и источники финансирования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Общий объем финансирования муниципальной программы за счет средств бюджетов всех уровней составит: </w:t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26 250 тыс.руб., в том числе:</w:t>
            </w:r>
            <w:r/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5 250 000 руб.;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t xml:space="preserve">Бюджет Новосибирского района: - 26 250 тыс.руб.*, в том числе:</w:t>
            </w:r>
            <w:r/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5 250 000 руб.;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line="240" w:lineRule="atLeast"/>
              <w:widowControl w:val="off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5 250 000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руб.*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* прогнозное финансирование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4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t xml:space="preserve">Электронный адрес размещения муниципальной программы в сети Интернет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88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http://nsr.nso.ru</w:t>
            </w:r>
            <w:r/>
          </w:p>
        </w:tc>
      </w:tr>
    </w:tbl>
    <w:p>
      <w:pPr>
        <w:contextualSpacing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II. ОБОСНОВАНИЕ НЕОБХОДИМОСТИ РАЗРАБОТКИ МУНИЦИПАЛЬНОЙ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Стратегией социально-экономического развития Новосибирского района Новосибирской области до 2030 год</w:t>
      </w:r>
      <w:r>
        <w:rPr>
          <w:sz w:val="28"/>
        </w:rPr>
        <w:t xml:space="preserve">а, утвержденной решением Совета депутатов Новосибирского района Новосибирской области от 20.12.2018 г. № 3, основным направлением является обеспечение достойного уровня и качества жизни населения Новосибирского района Новосибирской области (далее - район).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Разработка муниципальной программы обусловлена необходимостью создания благоприятных условий обеспечивающих развитие ин</w:t>
      </w:r>
      <w:r>
        <w:rPr>
          <w:sz w:val="28"/>
        </w:rPr>
        <w:t xml:space="preserve">ститутов гражданского общества, расширения участия граждан и СО НКО в реализации программ социального, экономического, культурного и общественного развития района и его территорий, как значимого направления повышения (обеспечения) качества жизни населения.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Деятельность СО НКО способствует социальной стабильности, достижению нового качества экономического </w:t>
      </w:r>
      <w:r>
        <w:rPr>
          <w:sz w:val="28"/>
        </w:rPr>
        <w:t xml:space="preserve">роста, развитию инновационных технологий, сохранению и приумножению образовательного, научного, духовного потенциала общества, реализации профессиональных, общественных любительских интересов населения, защите прав потребителей, экологической безопасности.</w:t>
      </w:r>
      <w:r>
        <w:rPr>
          <w:sz w:val="28"/>
        </w:rPr>
      </w:r>
      <w:r>
        <w:rPr>
          <w:sz w:val="28"/>
        </w:rPr>
      </w:r>
    </w:p>
    <w:p>
      <w:pPr>
        <w:ind w:right="-1" w:firstLine="709"/>
        <w:rPr>
          <w:i/>
          <w:sz w:val="28"/>
        </w:rPr>
      </w:pPr>
      <w:r>
        <w:rPr>
          <w:i/>
          <w:sz w:val="28"/>
        </w:rPr>
        <w:t xml:space="preserve">Основаниями для разработки муниципальной программы являются:</w:t>
      </w:r>
      <w:r>
        <w:rPr>
          <w:i/>
          <w:sz w:val="28"/>
        </w:rPr>
      </w:r>
      <w:r>
        <w:rPr>
          <w:i/>
          <w:sz w:val="28"/>
        </w:rPr>
      </w:r>
    </w:p>
    <w:p>
      <w:pPr>
        <w:ind w:right="-1"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Федеральный закон от 20.03.2025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; </w:t>
      </w:r>
      <w:r>
        <w:rPr>
          <w:sz w:val="28"/>
        </w:rPr>
      </w:r>
      <w:r>
        <w:rPr>
          <w:sz w:val="28"/>
        </w:rPr>
      </w:r>
    </w:p>
    <w:p>
      <w:pPr>
        <w:ind w:right="-1" w:firstLine="709"/>
        <w:jc w:val="both"/>
        <w:rPr>
          <w:sz w:val="28"/>
        </w:rPr>
      </w:pPr>
      <w:r>
        <w:rPr>
          <w:sz w:val="28"/>
        </w:rPr>
        <w:t xml:space="preserve">2) Федеральный закон от 12.01.1996 г. № 7-ФЗ «О некоммерческих организациях»; </w:t>
      </w:r>
      <w:r>
        <w:rPr>
          <w:sz w:val="28"/>
        </w:rPr>
      </w:r>
      <w:r>
        <w:rPr>
          <w:sz w:val="28"/>
        </w:rPr>
      </w:r>
    </w:p>
    <w:p>
      <w:pPr>
        <w:ind w:right="-1" w:firstLine="709"/>
        <w:jc w:val="both"/>
        <w:rPr>
          <w:sz w:val="28"/>
        </w:rPr>
      </w:pPr>
      <w:r>
        <w:rPr>
          <w:sz w:val="28"/>
        </w:rPr>
        <w:t xml:space="preserve">3) Устав Новосибирского района Новосибирской области;</w:t>
      </w:r>
      <w:r>
        <w:rPr>
          <w:sz w:val="28"/>
        </w:rPr>
      </w:r>
      <w:r>
        <w:rPr>
          <w:sz w:val="28"/>
        </w:rPr>
      </w:r>
    </w:p>
    <w:p>
      <w:pPr>
        <w:ind w:right="-1" w:firstLine="709"/>
        <w:jc w:val="both"/>
        <w:rPr>
          <w:sz w:val="28"/>
        </w:rPr>
      </w:pPr>
      <w:r>
        <w:rPr>
          <w:sz w:val="28"/>
        </w:rPr>
        <w:t xml:space="preserve">4) постановление Правительства Новосибирской области от 19.03.2019 г. № 105-п «Об утверждении стратегии социально-экономического развития Новосибирской области на период до 2030 года»;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5" w:right="1" w:firstLine="704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5) постановление Правительства Новосибирской области от 26.12.2018 г. № 570-п «Об утверждении государственной программы Новосибирской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«Развитие институтов региональной политики и гражданского общества в Новосибирской области»;</w:t>
      </w:r>
      <w:r>
        <w:rPr>
          <w:sz w:val="28"/>
        </w:rPr>
      </w:r>
      <w:r>
        <w:rPr>
          <w:sz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</w:rPr>
        <w:t xml:space="preserve">6) постановление администрации</w:t>
      </w:r>
      <w:r>
        <w:rPr>
          <w:sz w:val="28"/>
        </w:rPr>
        <w:t xml:space="preserve"> Новосибирского</w:t>
      </w:r>
      <w:r>
        <w:rPr>
          <w:sz w:val="28"/>
        </w:rPr>
        <w:t xml:space="preserve"> района </w:t>
      </w:r>
      <w:r>
        <w:rPr>
          <w:sz w:val="28"/>
        </w:rPr>
        <w:t xml:space="preserve">от 25.04.2023 г.  № 882-па «Об утверждении Порядка формирования и реализации муниципальных программ Новосибирского района Новосибирской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СО НКО, осуществляющие деятельность н</w:t>
      </w:r>
      <w:r>
        <w:rPr>
          <w:sz w:val="28"/>
        </w:rPr>
        <w:t xml:space="preserve">а территории района, выступают одним из инструментов решения задач социально-экономического развития муниципалитета и местного сообщества, играют важную роль в формировании механизма партнёрских отношений между администрацией и некоммерческими организациям</w:t>
      </w:r>
      <w:r>
        <w:rPr>
          <w:sz w:val="28"/>
        </w:rPr>
        <w:t xml:space="preserve">и. Большинство СО НКО являются социально ориентированными и осуществляют значимую деятельность, направленную на решение социальных проблем, развитие гражданского общества, отражая интересы различных групп населения, в первую очередь социально незащищенных.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Именно поэтому на сов</w:t>
      </w:r>
      <w:r>
        <w:rPr>
          <w:sz w:val="28"/>
        </w:rPr>
        <w:t xml:space="preserve">ременном этапе государственная и муниципальная поддержка и развитие СО НКО рассматриваются как важный инструмент развития муниципального образования, использование которого позволяет повысить эффективность решения социально-экономических задач территории. 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В Новосибирском районе зарегистрировано больше шестидесяти общественных организаций,</w:t>
      </w:r>
      <w:r>
        <w:rPr>
          <w:sz w:val="28"/>
        </w:rPr>
        <w:t xml:space="preserve"> имеющих статус юридического лица среди которых: общественная организация ветеранов-пенсионеров войны, труда, военной службы и правоохранительных органов Новосибирского района Новосибирской области, общественная организация «Местная организация Новосибирск</w:t>
      </w:r>
      <w:r>
        <w:rPr>
          <w:sz w:val="28"/>
        </w:rPr>
        <w:t xml:space="preserve">ого района Новосибирской областной организации Всероссийского общества инвалидов», Фонд поддержки и развития патриотического воспитания молодежи «Отечество», Новосибирская Региональная Общественная Организация Клуб Спортивных Единоборств «Рекорд» и другие.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Также, значительное число (более 20) различных общественных организаций, не имеющих статус юридического лица, ведут работу с самыми разными категориями граждан и оказывают им необходимые социальные услуги.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Большинство СО НКО, действующих на территории района, считают приоритетными направлениями своей деятельности вопросы просвещения, формирования и пропаганды здорового образа жизни, социальной адаптации инвалидов,</w:t>
      </w:r>
      <w:r>
        <w:rPr>
          <w:sz w:val="28"/>
        </w:rPr>
        <w:t xml:space="preserve"> культуры, духовного развития личности, военно-патриотического воспитания, поддержки семьи, материнства и детства, то есть сектор социальной направленности. Деятельность общественных организаций во многом дополняет усилия местных органов власти по решению </w:t>
      </w:r>
      <w:r>
        <w:rPr>
          <w:sz w:val="28"/>
        </w:rPr>
        <w:t xml:space="preserve">проблем территории и жителей. СО НКО имеют большой творческий и организационный потенциал. По их инициативе в районе проводятся культурно-массовые мероприятия, слеты, акции, направленные на чествование людей различных профессий, благоустройство территорий.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Вместе с тем следует отметить, что на сегодняшний день потенциал СО НКО нельзя назвать реализованным в полной мере. Среди проблем, негативно отражающихся на эффективности деятельности СО НКО: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- недостаток материально-технических и финансовых ресурсов, необходимых для реализации социально значимых проектов;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- отсутствие у СО НКО достаточного количества квалифицированных кадров, способных разрабатывать и реализовывать программы и проекты социальной направленности;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- низкая гражданская активность населения;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- неподготовленность к работе со средствами массовой информации, низкий уровень информи</w:t>
      </w:r>
      <w:bookmarkStart w:id="1" w:name="_GoBack"/>
      <w:r/>
      <w:bookmarkEnd w:id="1"/>
      <w:r>
        <w:rPr>
          <w:sz w:val="28"/>
        </w:rPr>
        <w:t xml:space="preserve">рованности общества о деятельности СО НКО и другое.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Реализация разработанной муниципальной программы «Поддержка социально ориентированных некоммерческих организаций» создаст благоприятные условия для решения проблемных вопросов </w:t>
      </w:r>
      <w:r>
        <w:rPr>
          <w:sz w:val="28"/>
        </w:rPr>
        <w:t xml:space="preserve">деятельности СО НКО, позволит проводить планомерную работу по повышению активности СО НКО в решении социально значимых проблем и формировании механизма партнёрских отношений между администрацией Новосибирского района и некоммерческими организациями района.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III. ЦЕЛИ, ЗАДАЧИ И ВАЖНЕЙШИЕ ЦЕЛЕВЫЕ ИНДИКАТОРЫ МУНИЦИПАЛЬНОЙ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1. Целью муниципальной программы является: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оказание целевой поддержки СО НКО, осуществляющих дея</w:t>
      </w:r>
      <w:r>
        <w:rPr>
          <w:sz w:val="28"/>
        </w:rPr>
        <w:t xml:space="preserve">тельность на территории Новосибирского района, формирование организационных, правовых, финансовых и социально-экономических условий для их деятельности, повышение заинтересованности и эффективности их участия в решении приоритетных задач местного значения.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2. Достижение цели обеспечивается за счет решения следующих ключевых задач: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обеспечение финансовой и имущественной поддержки деятельности СО НКО;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развитие информационной, консультационной и методической поддержки деятельности СО НКО;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 обеспечение взаимодействия органов местного самоуправления и общественных организаций в достижении общественного согласия и создании условий для социального и культурного развития района.</w:t>
      </w:r>
      <w:r>
        <w:rPr>
          <w:sz w:val="28"/>
        </w:rPr>
      </w:r>
      <w:r>
        <w:rPr>
          <w:sz w:val="28"/>
        </w:rPr>
      </w:r>
    </w:p>
    <w:p>
      <w:pPr>
        <w:ind w:right="-1" w:firstLine="709"/>
        <w:jc w:val="both"/>
        <w:widowControl w:val="off"/>
        <w:rPr>
          <w:sz w:val="28"/>
        </w:rPr>
      </w:pPr>
      <w:r>
        <w:rPr>
          <w:sz w:val="28"/>
        </w:rPr>
        <w:t xml:space="preserve">3. Общая социаль</w:t>
      </w:r>
      <w:r>
        <w:rPr>
          <w:sz w:val="28"/>
        </w:rPr>
        <w:t xml:space="preserve">но-экономическая эффективность реализации муниципальной программы оценивается с использованием системы целевых индикаторов, являющихся критериями оценки эффективности реализации муниципальной программы, приведенных в Приложении 1 к муниципальной программе.</w:t>
      </w:r>
      <w:r>
        <w:rPr>
          <w:sz w:val="28"/>
        </w:rPr>
      </w:r>
      <w:r>
        <w:rPr>
          <w:sz w:val="28"/>
        </w:rPr>
      </w:r>
    </w:p>
    <w:p>
      <w:pPr>
        <w:contextualSpacing/>
        <w:jc w:val="center"/>
        <w:spacing w:line="240" w:lineRule="atLeas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spacing w:line="240" w:lineRule="atLeast"/>
        <w:widowControl w:val="off"/>
        <w:rPr>
          <w:b/>
          <w:sz w:val="28"/>
        </w:rPr>
      </w:pPr>
      <w:r>
        <w:rPr>
          <w:b/>
          <w:sz w:val="28"/>
        </w:rPr>
        <w:t xml:space="preserve">IV. ОСНОВНЫЕ МЕРОПРИЯТИЯ И ФИНАНСОВОЕ ОБЕСПЕЧЕНИЕ МУНИЦИПАЛЬНОЙ ПРОГРАММЫ </w:t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center"/>
        <w:spacing w:line="240" w:lineRule="atLeast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Выбор программных мероприятий обусловлен целью и задачами муниципальной программы и сформирован с учетом современных потребностей СО НКО при осуществлении своей деятельности на территории района.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Муниципальная программа содержит мероприятия, направленные на создание условий для деятельности СО НКО и привлечение их к решению задач социально-экономического и культурного развития Новосибирского района.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8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К основным программным мероприятиям, запланированным к реализации в рамках муниципальной программы, относятся: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1. Обеспечение финансовой и имущественной поддержки деятельности СО НКО.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В рамках данной задачи планируются следующие мероприятия: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проведение районного конкурса на выделение из бюджета района грантов в форме субсидий для СО НКО;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оказание финансовой и имущественной поддержки СО НКО на решение вопросов уставной деятельности.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2. Развитие информационной, консультационной и методической поддержки деятельности СО НКО.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В рамках данной задачи планируются следующие мероприятия: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 проведение обучающих мероприятий, семинаров для представителей СО НКО;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организация пункта бесплатной юридической консультации;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подготовка и издание информационных материалов, в том числе выпуск видеоматериалов о деятельности СО НКО, реализации общественных инициатив;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 создание на сайте администрации Новосибирского района портала информационной поддержки СО НКО;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организация мониторинга публикаций о деятельности СО НКО.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3. Обеспечение взаимодействия органов местного самоуправления и общественных организаций в достижении общественного согласия и создании условий для социального и культурного развития района.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В рамках данной задачи планируются следующие мероприятия: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 организация и проведение ежегодного районного гражданского форума;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 организация и проведение районного мероприятия «Ярмарка социально ориентированных некоммерческих организаций Новосибирского района Новосибирской области».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8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Информирование представителей СО НКО о потенциальных возможностях поддержки осуществляется через средства массовой информации района, а также социальные сети в сети Интернет.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8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Положения о конкурсах, мероприятиях и порядки финансирования утверждаются администрацией района для каждого мероприятия отдельно.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8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Условия, величина, порядок выделения финансовых средств на предоставление услуг по обеспечению и проведению мероприятий и поставку товаров определяются администрацией района в порядке, установленном законодательством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Подробный перечень мероприятий, необходимых для решения поставленных задач и достижения общей цели муниципальной программы, приведен в Приложении 2 к муниципальной программе.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Общий объём финансовых средств, необходимых для реализации программных мероприятий из бюджета района составляет </w:t>
      </w:r>
      <w:r>
        <w:rPr>
          <w:sz w:val="28"/>
        </w:rPr>
        <w:t xml:space="preserve">26 250 000</w:t>
      </w:r>
      <w:r>
        <w:rPr>
          <w:sz w:val="28"/>
        </w:rPr>
        <w:t xml:space="preserve"> (</w:t>
      </w:r>
      <w:r>
        <w:rPr>
          <w:sz w:val="28"/>
        </w:rPr>
        <w:t xml:space="preserve">двадцать шесть</w:t>
      </w:r>
      <w:r>
        <w:rPr>
          <w:sz w:val="28"/>
        </w:rPr>
        <w:t xml:space="preserve"> миллион</w:t>
      </w:r>
      <w:r>
        <w:rPr>
          <w:sz w:val="28"/>
        </w:rPr>
        <w:t xml:space="preserve">ов</w:t>
      </w:r>
      <w:r>
        <w:rPr>
          <w:sz w:val="28"/>
        </w:rPr>
        <w:t xml:space="preserve"> </w:t>
      </w:r>
      <w:r>
        <w:rPr>
          <w:sz w:val="28"/>
        </w:rPr>
        <w:t xml:space="preserve">двести пятьдесят</w:t>
      </w:r>
      <w:r>
        <w:rPr>
          <w:sz w:val="28"/>
        </w:rPr>
        <w:t xml:space="preserve"> тысяч) рублей.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Общий объем финансирования муниципальной программы по годам, всего: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shd w:val="nil" w:color="auto"/>
        <w:rPr>
          <w:sz w:val="32"/>
          <w:szCs w:val="24"/>
          <w14:ligatures w14:val="none"/>
        </w:rPr>
      </w:pPr>
      <w:r>
        <w:rPr>
          <w:sz w:val="28"/>
          <w:szCs w:val="22"/>
        </w:rPr>
        <w:t xml:space="preserve">2026</w:t>
      </w:r>
      <w:r>
        <w:rPr>
          <w:sz w:val="28"/>
          <w:szCs w:val="22"/>
        </w:rPr>
        <w:t xml:space="preserve"> год – 5 250 000 (пять миллионов </w:t>
      </w:r>
      <w:r>
        <w:rPr>
          <w:sz w:val="28"/>
        </w:rPr>
        <w:t xml:space="preserve">двести пятьдесят</w:t>
      </w:r>
      <w:r>
        <w:rPr>
          <w:sz w:val="28"/>
        </w:rPr>
        <w:t xml:space="preserve"> тысяч</w:t>
      </w:r>
      <w:r>
        <w:rPr>
          <w:sz w:val="28"/>
          <w:szCs w:val="22"/>
        </w:rPr>
        <w:t xml:space="preserve">) рублей;</w:t>
      </w:r>
      <w:r>
        <w:rPr>
          <w:sz w:val="28"/>
          <w:szCs w:val="22"/>
        </w:rPr>
      </w:r>
      <w:r>
        <w:rPr>
          <w:sz w:val="32"/>
          <w:szCs w:val="24"/>
          <w14:ligatures w14:val="none"/>
        </w:rPr>
      </w:r>
    </w:p>
    <w:p>
      <w:pPr>
        <w:ind w:left="709"/>
        <w:shd w:val="nil" w:color="auto"/>
        <w:rPr>
          <w:sz w:val="32"/>
          <w:szCs w:val="24"/>
          <w:highlight w:val="none"/>
          <w14:ligatures w14:val="none"/>
        </w:rPr>
      </w:pPr>
      <w:r>
        <w:rPr>
          <w:sz w:val="28"/>
          <w:szCs w:val="22"/>
        </w:rPr>
        <w:t xml:space="preserve">2027</w:t>
      </w:r>
      <w:r>
        <w:rPr>
          <w:sz w:val="28"/>
          <w:szCs w:val="22"/>
        </w:rPr>
        <w:t xml:space="preserve"> год – </w:t>
      </w:r>
      <w:r>
        <w:rPr>
          <w:sz w:val="28"/>
          <w:szCs w:val="22"/>
        </w:rPr>
        <w:t xml:space="preserve">5 250 000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(пять миллионов </w:t>
      </w:r>
      <w:r>
        <w:rPr>
          <w:sz w:val="28"/>
        </w:rPr>
        <w:t xml:space="preserve">двести пятьдесят</w:t>
      </w:r>
      <w:r>
        <w:rPr>
          <w:sz w:val="28"/>
        </w:rPr>
        <w:t xml:space="preserve"> тысяч</w:t>
      </w:r>
      <w:r>
        <w:rPr>
          <w:sz w:val="28"/>
          <w:szCs w:val="22"/>
        </w:rPr>
        <w:t xml:space="preserve">)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рублей;</w:t>
      </w:r>
      <w:r>
        <w:rPr>
          <w:sz w:val="28"/>
          <w:szCs w:val="22"/>
          <w:highlight w:val="none"/>
        </w:rPr>
      </w:r>
      <w:r>
        <w:rPr>
          <w:sz w:val="32"/>
          <w:szCs w:val="24"/>
          <w:highlight w:val="none"/>
          <w14:ligatures w14:val="none"/>
        </w:rPr>
      </w:r>
    </w:p>
    <w:p>
      <w:pPr>
        <w:ind w:left="709"/>
        <w:shd w:val="nil" w:color="auto"/>
        <w:rPr>
          <w:sz w:val="32"/>
          <w:szCs w:val="24"/>
          <w14:ligatures w14:val="none"/>
        </w:rPr>
      </w:pPr>
      <w:r>
        <w:rPr>
          <w:sz w:val="28"/>
          <w:szCs w:val="22"/>
        </w:rPr>
        <w:t xml:space="preserve">2028</w:t>
      </w:r>
      <w:r>
        <w:rPr>
          <w:sz w:val="28"/>
          <w:szCs w:val="22"/>
        </w:rPr>
        <w:t xml:space="preserve"> год – </w:t>
      </w:r>
      <w:r>
        <w:rPr>
          <w:sz w:val="28"/>
          <w:szCs w:val="22"/>
        </w:rPr>
        <w:t xml:space="preserve">5 250 000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(пять миллионов </w:t>
      </w:r>
      <w:r>
        <w:rPr>
          <w:sz w:val="28"/>
        </w:rPr>
        <w:t xml:space="preserve">двести пятьдесят</w:t>
      </w:r>
      <w:r>
        <w:rPr>
          <w:sz w:val="28"/>
        </w:rPr>
        <w:t xml:space="preserve"> тысяч</w:t>
      </w:r>
      <w:r>
        <w:rPr>
          <w:sz w:val="28"/>
          <w:szCs w:val="22"/>
        </w:rPr>
        <w:t xml:space="preserve">)</w:t>
      </w:r>
      <w:r>
        <w:rPr>
          <w:sz w:val="28"/>
          <w:szCs w:val="22"/>
        </w:rPr>
        <w:t xml:space="preserve"> рублей;</w:t>
      </w:r>
      <w:r>
        <w:rPr>
          <w:sz w:val="28"/>
          <w:szCs w:val="22"/>
        </w:rPr>
      </w:r>
      <w:r>
        <w:rPr>
          <w:sz w:val="32"/>
          <w:szCs w:val="24"/>
          <w14:ligatures w14:val="none"/>
        </w:rPr>
      </w:r>
    </w:p>
    <w:p>
      <w:pPr>
        <w:ind w:left="709"/>
        <w:shd w:val="nil" w:color="auto"/>
        <w:rPr>
          <w:sz w:val="32"/>
          <w:szCs w:val="24"/>
          <w14:ligatures w14:val="none"/>
        </w:rPr>
      </w:pPr>
      <w:r>
        <w:rPr>
          <w:sz w:val="28"/>
          <w:szCs w:val="22"/>
        </w:rPr>
        <w:t xml:space="preserve">2029</w:t>
      </w:r>
      <w:r>
        <w:rPr>
          <w:sz w:val="28"/>
          <w:szCs w:val="22"/>
        </w:rPr>
        <w:t xml:space="preserve"> год – </w:t>
      </w:r>
      <w:r>
        <w:rPr>
          <w:sz w:val="28"/>
          <w:szCs w:val="22"/>
        </w:rPr>
        <w:t xml:space="preserve">5 250 000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(пять миллионов </w:t>
      </w:r>
      <w:r>
        <w:rPr>
          <w:sz w:val="28"/>
        </w:rPr>
        <w:t xml:space="preserve">двести пятьдесят</w:t>
      </w:r>
      <w:r>
        <w:rPr>
          <w:sz w:val="28"/>
        </w:rPr>
        <w:t xml:space="preserve"> тысяч</w:t>
      </w:r>
      <w:r>
        <w:rPr>
          <w:sz w:val="28"/>
          <w:szCs w:val="22"/>
        </w:rPr>
        <w:t xml:space="preserve">)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рублей;</w:t>
      </w:r>
      <w:r>
        <w:rPr>
          <w:sz w:val="28"/>
          <w:szCs w:val="22"/>
        </w:rPr>
      </w:r>
      <w:r>
        <w:rPr>
          <w:sz w:val="32"/>
          <w:szCs w:val="24"/>
          <w14:ligatures w14:val="none"/>
        </w:rPr>
      </w:r>
    </w:p>
    <w:p>
      <w:pPr>
        <w:ind w:left="709"/>
        <w:shd w:val="nil" w:color="auto"/>
        <w:rPr>
          <w:sz w:val="32"/>
          <w:szCs w:val="24"/>
          <w14:ligatures w14:val="none"/>
        </w:rPr>
      </w:pPr>
      <w:r>
        <w:rPr>
          <w:sz w:val="28"/>
          <w:szCs w:val="22"/>
        </w:rPr>
        <w:t xml:space="preserve">2030</w:t>
      </w:r>
      <w:r>
        <w:rPr>
          <w:sz w:val="28"/>
          <w:szCs w:val="22"/>
        </w:rPr>
        <w:t xml:space="preserve"> год – </w:t>
      </w:r>
      <w:r>
        <w:rPr>
          <w:sz w:val="28"/>
          <w:szCs w:val="22"/>
        </w:rPr>
        <w:t xml:space="preserve">5 250 000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(пять миллионов </w:t>
      </w:r>
      <w:r>
        <w:rPr>
          <w:sz w:val="28"/>
        </w:rPr>
        <w:t xml:space="preserve">двести пятьдесят</w:t>
      </w:r>
      <w:r>
        <w:rPr>
          <w:sz w:val="28"/>
        </w:rPr>
        <w:t xml:space="preserve"> тысяч</w:t>
      </w:r>
      <w:r>
        <w:rPr>
          <w:sz w:val="28"/>
          <w:szCs w:val="22"/>
        </w:rPr>
        <w:t xml:space="preserve">)</w:t>
      </w:r>
      <w:r>
        <w:rPr>
          <w:sz w:val="28"/>
          <w:szCs w:val="22"/>
        </w:rPr>
        <w:t xml:space="preserve"> рублей.</w:t>
      </w:r>
      <w:r>
        <w:rPr>
          <w:sz w:val="32"/>
          <w:szCs w:val="24"/>
          <w14:ligatures w14:val="none"/>
        </w:rPr>
      </w:r>
      <w:r>
        <w:rPr>
          <w:sz w:val="32"/>
          <w:szCs w:val="24"/>
          <w14:ligatures w14:val="none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Объемы финансирования муниципальной программы носят прогнозный характер и подлежат ежегодному уточнению в установленном порядке при формировании проекта бюджета района на соответствующий год, исходя из возможностей бюджета района.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V. МЕХАНИЗМ РЕАЛИЗАЦИИ МУНИЦИПАЛЬНОЙ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Общее руководство реализацией муниципальной программы осуществляет координатор муниципальной программы – заместитель главы администрации района.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Основными субъектами реализации программы являются администрация района, общественность, СО НКО, представители бизнеса, иные юридические и физические лица, молодежь, средства массовой информации.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Учитывая динамику развития российского общества, предполагается ежегодная корректировка и доработка мероприятий программы.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Контроль за ходом реализации муниципальной программы осуществляет разработчик. 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С целью контроля за реализацией муниципальной программы разработчик ежегодно до 1 марта года, следующего за отчетным, представляе</w:t>
      </w:r>
      <w:r>
        <w:rPr>
          <w:sz w:val="28"/>
        </w:rPr>
        <w:t xml:space="preserve">т в управление экономического развития, промышленности и торговли администрации района в соответствии с Порядком формирования и реализации муниципальных программ Новосибирского района Новосибирской области, утвержденным постановлением администрации района </w:t>
      </w:r>
      <w:r>
        <w:rPr>
          <w:sz w:val="28"/>
        </w:rPr>
        <w:t xml:space="preserve">от 25.04.2023 г. № 882-па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 отчет о ходе реализации (о реализации) муниципальной программы, согласованный с отделом учета и отчетности администрации района;</w:t>
      </w:r>
      <w:r>
        <w:rPr>
          <w:sz w:val="28"/>
        </w:rPr>
      </w:r>
      <w:r>
        <w:rPr>
          <w:sz w:val="28"/>
        </w:rPr>
      </w:r>
    </w:p>
    <w:p>
      <w:pPr>
        <w:contextualSpacing/>
        <w:ind w:firstLine="709"/>
        <w:jc w:val="both"/>
        <w:spacing w:line="240" w:lineRule="atLeast"/>
        <w:widowControl w:val="off"/>
        <w:rPr>
          <w:sz w:val="28"/>
        </w:rPr>
      </w:pPr>
      <w:r>
        <w:rPr>
          <w:sz w:val="28"/>
        </w:rPr>
        <w:t xml:space="preserve">- информацию об оценке эффективности реализации муниципальной программы.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Основным исполнителем мероприятий муниципальной программы является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  <w:outlineLvl w:val="1"/>
      </w:pPr>
      <w:r>
        <w:rPr>
          <w:sz w:val="28"/>
        </w:rPr>
        <w:t xml:space="preserve">управление по работе с органами местного самоуправления, общественными организациями и молодежной политики администрации района (далее – управление).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Управление при реализации программы выполняет следующие функции: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 взаимодействие с </w:t>
      </w:r>
      <w:r>
        <w:rPr>
          <w:sz w:val="28"/>
        </w:rPr>
        <w:t xml:space="preserve">органами исполнительной власти Новосибирской области, структурными подразделениями администрации района, учреждениями подведомственными администрации района, с городским и сельскими поселениями района в части реализации мероприятий муниципальной программы;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 нормативно-правовое обеспечение реализации муниципальной программы;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 мониторинг результатов реализации программных мероприятий;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 проводит оценку эффективности реализации муниципальной программы;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 подготовку в установленном порядке предложений об уточнении мероприятий муниципальной про</w:t>
      </w:r>
      <w:r>
        <w:rPr>
          <w:sz w:val="28"/>
        </w:rPr>
        <w:t xml:space="preserve">граммы на очередной финансовый год, представление в управление финансовой и налоговой политики района заявок на финансирование муниципальной программы, уточнение затрат и сроков исполнения мероприятий муниципальной программы, а также механизмов реализации;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 обеспечивает контроль внесения соответствующих изменений в бюджетную роспись района;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  <w:t xml:space="preserve">- направляет проект изменений в муниципальную программу на финансово-экономическую экспертизу в Контрольно-счетную палату района.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  <w:outlineLvl w:val="1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r/>
      <w:r/>
    </w:p>
    <w:sectPr>
      <w:headerReference w:type="default" r:id="rId9"/>
      <w:footnotePr/>
      <w:endnotePr/>
      <w:type w:val="nextPage"/>
      <w:pgSz w:w="11908" w:h="16848" w:orient="portrait"/>
      <w:pgMar w:top="1134" w:right="567" w:bottom="1134" w:left="1417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5813336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ind w:left="750" w:hanging="390"/>
      </w:pPr>
      <w:rPr>
        <w:rFonts w:ascii="Times New Roman" w:hAnsi="Times New Roman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ascii="Arial" w:hAnsi="Arial"/>
        <w:sz w:val="2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  <w:rPr>
        <w:rFonts w:ascii="Arial" w:hAnsi="Arial"/>
        <w:sz w:val="2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  <w:rPr>
        <w:rFonts w:ascii="Arial" w:hAnsi="Arial"/>
        <w:sz w:val="2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  <w:rPr>
        <w:rFonts w:ascii="Arial" w:hAnsi="Arial"/>
        <w:sz w:val="2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  <w:rPr>
        <w:rFonts w:ascii="Arial" w:hAnsi="Arial"/>
        <w:sz w:val="2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  <w:rPr>
        <w:rFonts w:ascii="Arial" w:hAnsi="Arial"/>
        <w:sz w:val="2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  <w:rPr>
        <w:rFonts w:ascii="Arial" w:hAnsi="Arial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6 Char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Quote Char"/>
    <w:link w:val="739"/>
    <w:uiPriority w:val="29"/>
    <w:rPr>
      <w:i/>
    </w:rPr>
  </w:style>
  <w:style w:type="character" w:styleId="711">
    <w:name w:val="Intense Quote Char"/>
    <w:link w:val="741"/>
    <w:uiPriority w:val="30"/>
    <w:rPr>
      <w:i/>
    </w:rPr>
  </w:style>
  <w:style w:type="character" w:styleId="712">
    <w:name w:val="Footnote Text Char"/>
    <w:link w:val="872"/>
    <w:uiPriority w:val="99"/>
    <w:rPr>
      <w:sz w:val="18"/>
    </w:rPr>
  </w:style>
  <w:style w:type="character" w:styleId="713">
    <w:name w:val="Endnote Text Char"/>
    <w:link w:val="875"/>
    <w:uiPriority w:val="99"/>
    <w:rPr>
      <w:sz w:val="20"/>
    </w:rPr>
  </w:style>
  <w:style w:type="paragraph" w:styleId="714" w:default="1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715">
    <w:name w:val="Heading 1"/>
    <w:next w:val="714"/>
    <w:link w:val="91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6">
    <w:name w:val="Heading 2"/>
    <w:next w:val="714"/>
    <w:link w:val="93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7">
    <w:name w:val="Heading 3"/>
    <w:next w:val="714"/>
    <w:link w:val="89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8">
    <w:name w:val="Heading 4"/>
    <w:next w:val="714"/>
    <w:link w:val="93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9">
    <w:name w:val="Heading 5"/>
    <w:next w:val="714"/>
    <w:link w:val="91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20">
    <w:name w:val="Heading 6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21">
    <w:name w:val="Heading 7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22">
    <w:name w:val="Heading 8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23">
    <w:name w:val="Heading 9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after="0" w:line="240" w:lineRule="auto"/>
    </w:pPr>
  </w:style>
  <w:style w:type="character" w:styleId="737" w:customStyle="1">
    <w:name w:val="Title Char"/>
    <w:basedOn w:val="724"/>
    <w:uiPriority w:val="10"/>
    <w:rPr>
      <w:sz w:val="48"/>
      <w:szCs w:val="48"/>
    </w:rPr>
  </w:style>
  <w:style w:type="character" w:styleId="738" w:customStyle="1">
    <w:name w:val="Subtitle Char"/>
    <w:basedOn w:val="724"/>
    <w:uiPriority w:val="11"/>
    <w:rPr>
      <w:sz w:val="24"/>
      <w:szCs w:val="24"/>
    </w:rPr>
  </w:style>
  <w:style w:type="paragraph" w:styleId="739">
    <w:name w:val="Quote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724"/>
    <w:uiPriority w:val="99"/>
  </w:style>
  <w:style w:type="character" w:styleId="744" w:customStyle="1">
    <w:name w:val="Footer Char"/>
    <w:basedOn w:val="724"/>
    <w:uiPriority w:val="99"/>
  </w:style>
  <w:style w:type="paragraph" w:styleId="745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Caption Char"/>
    <w:uiPriority w:val="99"/>
  </w:style>
  <w:style w:type="table" w:styleId="747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2">
    <w:name w:val="footnote text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4"/>
    <w:uiPriority w:val="99"/>
    <w:unhideWhenUsed/>
    <w:rPr>
      <w:vertAlign w:val="superscript"/>
    </w:rPr>
  </w:style>
  <w:style w:type="paragraph" w:styleId="875">
    <w:name w:val="endnote text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4"/>
    <w:uiPriority w:val="99"/>
    <w:semiHidden/>
    <w:unhideWhenUsed/>
    <w:rPr>
      <w:vertAlign w:val="superscript"/>
    </w:rPr>
  </w:style>
  <w:style w:type="paragraph" w:styleId="878">
    <w:name w:val="TOC Heading"/>
    <w:uiPriority w:val="39"/>
    <w:unhideWhenUsed/>
  </w:style>
  <w:style w:type="paragraph" w:styleId="879">
    <w:name w:val="table of figures"/>
    <w:uiPriority w:val="99"/>
    <w:unhideWhenUsed/>
    <w:pPr>
      <w:spacing w:after="0"/>
    </w:pPr>
  </w:style>
  <w:style w:type="character" w:styleId="880" w:customStyle="1">
    <w:name w:val="Обычный1"/>
    <w:rPr>
      <w:rFonts w:ascii="Times New Roman" w:hAnsi="Times New Roman"/>
      <w:sz w:val="24"/>
    </w:rPr>
  </w:style>
  <w:style w:type="paragraph" w:styleId="881">
    <w:name w:val="toc 2"/>
    <w:next w:val="714"/>
    <w:link w:val="882"/>
    <w:uiPriority w:val="39"/>
    <w:pPr>
      <w:ind w:left="200"/>
    </w:pPr>
    <w:rPr>
      <w:rFonts w:ascii="XO Thames" w:hAnsi="XO Thames"/>
      <w:sz w:val="28"/>
    </w:rPr>
  </w:style>
  <w:style w:type="character" w:styleId="882" w:customStyle="1">
    <w:name w:val="Оглавление 2 Знак"/>
    <w:link w:val="881"/>
    <w:rPr>
      <w:rFonts w:ascii="XO Thames" w:hAnsi="XO Thames"/>
      <w:sz w:val="28"/>
    </w:rPr>
  </w:style>
  <w:style w:type="paragraph" w:styleId="883">
    <w:name w:val="toc 4"/>
    <w:next w:val="714"/>
    <w:link w:val="884"/>
    <w:uiPriority w:val="39"/>
    <w:pPr>
      <w:ind w:left="600"/>
    </w:pPr>
    <w:rPr>
      <w:rFonts w:ascii="XO Thames" w:hAnsi="XO Thames"/>
      <w:sz w:val="28"/>
    </w:rPr>
  </w:style>
  <w:style w:type="character" w:styleId="884" w:customStyle="1">
    <w:name w:val="Оглавление 4 Знак"/>
    <w:link w:val="883"/>
    <w:rPr>
      <w:rFonts w:ascii="XO Thames" w:hAnsi="XO Thames"/>
      <w:sz w:val="28"/>
    </w:rPr>
  </w:style>
  <w:style w:type="paragraph" w:styleId="885">
    <w:name w:val="Normal (Web)"/>
    <w:basedOn w:val="714"/>
    <w:link w:val="886"/>
    <w:pPr>
      <w:spacing w:beforeAutospacing="1" w:afterAutospacing="1"/>
    </w:pPr>
  </w:style>
  <w:style w:type="character" w:styleId="886" w:customStyle="1">
    <w:name w:val="Обычный (веб) Знак"/>
    <w:basedOn w:val="880"/>
    <w:link w:val="885"/>
    <w:rPr>
      <w:rFonts w:ascii="Times New Roman" w:hAnsi="Times New Roman"/>
      <w:sz w:val="24"/>
    </w:rPr>
  </w:style>
  <w:style w:type="paragraph" w:styleId="887" w:customStyle="1">
    <w:name w:val="Обычный1"/>
    <w:link w:val="888"/>
    <w:rPr>
      <w:rFonts w:ascii="Times New Roman" w:hAnsi="Times New Roman"/>
      <w:sz w:val="24"/>
    </w:rPr>
  </w:style>
  <w:style w:type="character" w:styleId="888" w:customStyle="1">
    <w:name w:val="Обычный1"/>
    <w:link w:val="887"/>
    <w:rPr>
      <w:rFonts w:ascii="Times New Roman" w:hAnsi="Times New Roman"/>
      <w:sz w:val="24"/>
    </w:rPr>
  </w:style>
  <w:style w:type="paragraph" w:styleId="889">
    <w:name w:val="toc 6"/>
    <w:next w:val="714"/>
    <w:link w:val="890"/>
    <w:uiPriority w:val="39"/>
    <w:pPr>
      <w:ind w:left="1000"/>
    </w:pPr>
    <w:rPr>
      <w:rFonts w:ascii="XO Thames" w:hAnsi="XO Thames"/>
      <w:sz w:val="28"/>
    </w:rPr>
  </w:style>
  <w:style w:type="character" w:styleId="890" w:customStyle="1">
    <w:name w:val="Оглавление 6 Знак"/>
    <w:link w:val="889"/>
    <w:rPr>
      <w:rFonts w:ascii="XO Thames" w:hAnsi="XO Thames"/>
      <w:sz w:val="28"/>
    </w:rPr>
  </w:style>
  <w:style w:type="paragraph" w:styleId="891">
    <w:name w:val="toc 7"/>
    <w:next w:val="714"/>
    <w:link w:val="892"/>
    <w:uiPriority w:val="39"/>
    <w:pPr>
      <w:ind w:left="1200"/>
    </w:pPr>
    <w:rPr>
      <w:rFonts w:ascii="XO Thames" w:hAnsi="XO Thames"/>
      <w:sz w:val="28"/>
    </w:rPr>
  </w:style>
  <w:style w:type="character" w:styleId="892" w:customStyle="1">
    <w:name w:val="Оглавление 7 Знак"/>
    <w:link w:val="891"/>
    <w:rPr>
      <w:rFonts w:ascii="XO Thames" w:hAnsi="XO Thames"/>
      <w:sz w:val="28"/>
    </w:rPr>
  </w:style>
  <w:style w:type="paragraph" w:styleId="893" w:customStyle="1">
    <w:name w:val="Обычный1"/>
    <w:link w:val="894"/>
    <w:rPr>
      <w:rFonts w:ascii="Times New Roman" w:hAnsi="Times New Roman"/>
      <w:sz w:val="24"/>
    </w:rPr>
  </w:style>
  <w:style w:type="character" w:styleId="894" w:customStyle="1">
    <w:name w:val="Обычный1"/>
    <w:link w:val="893"/>
    <w:rPr>
      <w:rFonts w:ascii="Times New Roman" w:hAnsi="Times New Roman"/>
      <w:sz w:val="24"/>
    </w:rPr>
  </w:style>
  <w:style w:type="paragraph" w:styleId="895" w:customStyle="1">
    <w:name w:val="Гиперссылка2"/>
    <w:link w:val="896"/>
    <w:rPr>
      <w:color w:val="0000ff"/>
      <w:u w:val="single"/>
    </w:rPr>
  </w:style>
  <w:style w:type="character" w:styleId="896" w:customStyle="1">
    <w:name w:val="Гиперссылка2"/>
    <w:link w:val="895"/>
    <w:rPr>
      <w:color w:val="0000ff"/>
      <w:u w:val="single"/>
    </w:rPr>
  </w:style>
  <w:style w:type="paragraph" w:styleId="897">
    <w:name w:val="Footer"/>
    <w:basedOn w:val="714"/>
    <w:link w:val="898"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880"/>
    <w:link w:val="897"/>
    <w:rPr>
      <w:rFonts w:ascii="Times New Roman" w:hAnsi="Times New Roman"/>
      <w:sz w:val="24"/>
    </w:rPr>
  </w:style>
  <w:style w:type="character" w:styleId="899" w:customStyle="1">
    <w:name w:val="Заголовок 3 Знак"/>
    <w:link w:val="717"/>
    <w:rPr>
      <w:rFonts w:ascii="XO Thames" w:hAnsi="XO Thames"/>
      <w:b/>
      <w:sz w:val="26"/>
    </w:rPr>
  </w:style>
  <w:style w:type="paragraph" w:styleId="900">
    <w:name w:val="Balloon Text"/>
    <w:basedOn w:val="714"/>
    <w:link w:val="901"/>
    <w:rPr>
      <w:rFonts w:ascii="Segoe UI" w:hAnsi="Segoe UI"/>
      <w:sz w:val="18"/>
    </w:rPr>
  </w:style>
  <w:style w:type="character" w:styleId="901" w:customStyle="1">
    <w:name w:val="Текст выноски Знак"/>
    <w:basedOn w:val="880"/>
    <w:link w:val="900"/>
    <w:rPr>
      <w:rFonts w:ascii="Segoe UI" w:hAnsi="Segoe UI"/>
      <w:sz w:val="18"/>
    </w:rPr>
  </w:style>
  <w:style w:type="paragraph" w:styleId="902" w:customStyle="1">
    <w:name w:val="Гиперссылка1"/>
    <w:link w:val="903"/>
    <w:rPr>
      <w:color w:val="0000ff"/>
      <w:u w:val="single"/>
    </w:rPr>
  </w:style>
  <w:style w:type="character" w:styleId="903" w:customStyle="1">
    <w:name w:val="Гиперссылка1"/>
    <w:link w:val="902"/>
    <w:rPr>
      <w:color w:val="0000ff"/>
      <w:u w:val="single"/>
    </w:rPr>
  </w:style>
  <w:style w:type="paragraph" w:styleId="904">
    <w:name w:val="List Paragraph"/>
    <w:basedOn w:val="714"/>
    <w:link w:val="905"/>
    <w:pPr>
      <w:contextualSpacing/>
      <w:ind w:left="720"/>
    </w:pPr>
  </w:style>
  <w:style w:type="character" w:styleId="905" w:customStyle="1">
    <w:name w:val="Абзац списка Знак"/>
    <w:basedOn w:val="880"/>
    <w:link w:val="904"/>
    <w:rPr>
      <w:rFonts w:ascii="Times New Roman" w:hAnsi="Times New Roman"/>
      <w:sz w:val="24"/>
    </w:rPr>
  </w:style>
  <w:style w:type="paragraph" w:styleId="906">
    <w:name w:val="Header"/>
    <w:basedOn w:val="714"/>
    <w:link w:val="907"/>
    <w:uiPriority w:val="99"/>
    <w:pPr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"/>
    <w:basedOn w:val="880"/>
    <w:link w:val="906"/>
    <w:uiPriority w:val="99"/>
    <w:rPr>
      <w:rFonts w:ascii="Times New Roman" w:hAnsi="Times New Roman"/>
      <w:sz w:val="24"/>
    </w:rPr>
  </w:style>
  <w:style w:type="paragraph" w:styleId="908">
    <w:name w:val="toc 3"/>
    <w:next w:val="714"/>
    <w:link w:val="909"/>
    <w:uiPriority w:val="39"/>
    <w:pPr>
      <w:ind w:left="400"/>
    </w:pPr>
    <w:rPr>
      <w:rFonts w:ascii="XO Thames" w:hAnsi="XO Thames"/>
      <w:sz w:val="28"/>
    </w:rPr>
  </w:style>
  <w:style w:type="character" w:styleId="909" w:customStyle="1">
    <w:name w:val="Оглавление 3 Знак"/>
    <w:link w:val="908"/>
    <w:rPr>
      <w:rFonts w:ascii="XO Thames" w:hAnsi="XO Thames"/>
      <w:sz w:val="28"/>
    </w:rPr>
  </w:style>
  <w:style w:type="character" w:styleId="910" w:customStyle="1">
    <w:name w:val="Заголовок 5 Знак"/>
    <w:link w:val="719"/>
    <w:rPr>
      <w:rFonts w:ascii="XO Thames" w:hAnsi="XO Thames"/>
      <w:b/>
    </w:rPr>
  </w:style>
  <w:style w:type="paragraph" w:styleId="911" w:customStyle="1">
    <w:name w:val="Основной шрифт абзаца1"/>
    <w:link w:val="912"/>
  </w:style>
  <w:style w:type="character" w:styleId="912" w:customStyle="1">
    <w:name w:val="Основной шрифт абзаца1"/>
    <w:link w:val="911"/>
  </w:style>
  <w:style w:type="character" w:styleId="913" w:customStyle="1">
    <w:name w:val="Заголовок 1 Знак"/>
    <w:link w:val="715"/>
    <w:rPr>
      <w:rFonts w:ascii="XO Thames" w:hAnsi="XO Thames"/>
      <w:b/>
      <w:sz w:val="32"/>
    </w:rPr>
  </w:style>
  <w:style w:type="paragraph" w:styleId="914" w:customStyle="1">
    <w:name w:val="Гиперссылка3"/>
    <w:link w:val="915"/>
    <w:rPr>
      <w:color w:val="0000ff"/>
      <w:u w:val="single"/>
    </w:rPr>
  </w:style>
  <w:style w:type="character" w:styleId="915">
    <w:name w:val="Hyperlink"/>
    <w:link w:val="914"/>
    <w:rPr>
      <w:color w:val="0000ff"/>
      <w:u w:val="single"/>
    </w:rPr>
  </w:style>
  <w:style w:type="paragraph" w:styleId="916" w:customStyle="1">
    <w:name w:val="Footnote"/>
    <w:link w:val="917"/>
    <w:pPr>
      <w:ind w:firstLine="851"/>
      <w:jc w:val="both"/>
    </w:pPr>
    <w:rPr>
      <w:rFonts w:ascii="XO Thames" w:hAnsi="XO Thames"/>
    </w:rPr>
  </w:style>
  <w:style w:type="character" w:styleId="917" w:customStyle="1">
    <w:name w:val="Footnote"/>
    <w:link w:val="916"/>
    <w:rPr>
      <w:rFonts w:ascii="XO Thames" w:hAnsi="XO Thames"/>
    </w:rPr>
  </w:style>
  <w:style w:type="paragraph" w:styleId="918">
    <w:name w:val="toc 1"/>
    <w:next w:val="714"/>
    <w:link w:val="919"/>
    <w:uiPriority w:val="39"/>
    <w:rPr>
      <w:rFonts w:ascii="XO Thames" w:hAnsi="XO Thames"/>
      <w:b/>
      <w:sz w:val="28"/>
    </w:rPr>
  </w:style>
  <w:style w:type="character" w:styleId="919" w:customStyle="1">
    <w:name w:val="Оглавление 1 Знак"/>
    <w:link w:val="918"/>
    <w:rPr>
      <w:rFonts w:ascii="XO Thames" w:hAnsi="XO Thames"/>
      <w:b/>
      <w:sz w:val="28"/>
    </w:rPr>
  </w:style>
  <w:style w:type="paragraph" w:styleId="920" w:customStyle="1">
    <w:name w:val="Header and Footer"/>
    <w:link w:val="921"/>
    <w:pPr>
      <w:jc w:val="both"/>
      <w:spacing w:line="240" w:lineRule="auto"/>
    </w:pPr>
    <w:rPr>
      <w:rFonts w:ascii="XO Thames" w:hAnsi="XO Thames"/>
      <w:sz w:val="20"/>
    </w:rPr>
  </w:style>
  <w:style w:type="character" w:styleId="921" w:customStyle="1">
    <w:name w:val="Header and Footer"/>
    <w:link w:val="920"/>
    <w:rPr>
      <w:rFonts w:ascii="XO Thames" w:hAnsi="XO Thames"/>
      <w:sz w:val="20"/>
    </w:rPr>
  </w:style>
  <w:style w:type="paragraph" w:styleId="922">
    <w:name w:val="toc 9"/>
    <w:next w:val="714"/>
    <w:link w:val="923"/>
    <w:uiPriority w:val="39"/>
    <w:pPr>
      <w:ind w:left="1600"/>
    </w:pPr>
    <w:rPr>
      <w:rFonts w:ascii="XO Thames" w:hAnsi="XO Thames"/>
      <w:sz w:val="28"/>
    </w:rPr>
  </w:style>
  <w:style w:type="character" w:styleId="923" w:customStyle="1">
    <w:name w:val="Оглавление 9 Знак"/>
    <w:link w:val="922"/>
    <w:rPr>
      <w:rFonts w:ascii="XO Thames" w:hAnsi="XO Thames"/>
      <w:sz w:val="28"/>
    </w:rPr>
  </w:style>
  <w:style w:type="paragraph" w:styleId="924">
    <w:name w:val="toc 8"/>
    <w:next w:val="714"/>
    <w:link w:val="925"/>
    <w:uiPriority w:val="39"/>
    <w:pPr>
      <w:ind w:left="1400"/>
    </w:pPr>
    <w:rPr>
      <w:rFonts w:ascii="XO Thames" w:hAnsi="XO Thames"/>
      <w:sz w:val="28"/>
    </w:rPr>
  </w:style>
  <w:style w:type="character" w:styleId="925" w:customStyle="1">
    <w:name w:val="Оглавление 8 Знак"/>
    <w:link w:val="924"/>
    <w:rPr>
      <w:rFonts w:ascii="XO Thames" w:hAnsi="XO Thames"/>
      <w:sz w:val="28"/>
    </w:rPr>
  </w:style>
  <w:style w:type="paragraph" w:styleId="926">
    <w:name w:val="toc 5"/>
    <w:next w:val="714"/>
    <w:link w:val="927"/>
    <w:uiPriority w:val="39"/>
    <w:pPr>
      <w:ind w:left="800"/>
    </w:pPr>
    <w:rPr>
      <w:rFonts w:ascii="XO Thames" w:hAnsi="XO Thames"/>
      <w:sz w:val="28"/>
    </w:rPr>
  </w:style>
  <w:style w:type="character" w:styleId="927" w:customStyle="1">
    <w:name w:val="Оглавление 5 Знак"/>
    <w:link w:val="926"/>
    <w:rPr>
      <w:rFonts w:ascii="XO Thames" w:hAnsi="XO Thames"/>
      <w:sz w:val="28"/>
    </w:rPr>
  </w:style>
  <w:style w:type="paragraph" w:styleId="928" w:customStyle="1">
    <w:name w:val="Основной шрифт абзаца2"/>
  </w:style>
  <w:style w:type="paragraph" w:styleId="929">
    <w:name w:val="Subtitle"/>
    <w:next w:val="714"/>
    <w:link w:val="93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30" w:customStyle="1">
    <w:name w:val="Подзаголовок Знак"/>
    <w:link w:val="929"/>
    <w:rPr>
      <w:rFonts w:ascii="XO Thames" w:hAnsi="XO Thames"/>
      <w:i/>
      <w:sz w:val="24"/>
    </w:rPr>
  </w:style>
  <w:style w:type="paragraph" w:styleId="931" w:customStyle="1">
    <w:name w:val="Основной шрифт абзаца1"/>
    <w:link w:val="932"/>
  </w:style>
  <w:style w:type="character" w:styleId="932" w:customStyle="1">
    <w:name w:val="Основной шрифт абзаца1"/>
    <w:link w:val="931"/>
  </w:style>
  <w:style w:type="paragraph" w:styleId="933">
    <w:name w:val="Title"/>
    <w:next w:val="714"/>
    <w:link w:val="93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34" w:customStyle="1">
    <w:name w:val="Название Знак"/>
    <w:link w:val="933"/>
    <w:rPr>
      <w:rFonts w:ascii="XO Thames" w:hAnsi="XO Thames"/>
      <w:b/>
      <w:caps/>
      <w:sz w:val="40"/>
    </w:rPr>
  </w:style>
  <w:style w:type="character" w:styleId="935" w:customStyle="1">
    <w:name w:val="Заголовок 4 Знак"/>
    <w:link w:val="718"/>
    <w:rPr>
      <w:rFonts w:ascii="XO Thames" w:hAnsi="XO Thames"/>
      <w:b/>
      <w:sz w:val="24"/>
    </w:rPr>
  </w:style>
  <w:style w:type="character" w:styleId="936" w:customStyle="1">
    <w:name w:val="Заголовок 2 Знак"/>
    <w:link w:val="716"/>
    <w:rPr>
      <w:rFonts w:ascii="XO Thames" w:hAnsi="XO Thames"/>
      <w:b/>
      <w:sz w:val="28"/>
    </w:rPr>
  </w:style>
  <w:style w:type="table" w:styleId="937">
    <w:name w:val="Table Grid"/>
    <w:basedOn w:val="7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 w:customStyle="1">
    <w:name w:val="ConsPlusNormal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2024-11-06T03:04:00Z</dcterms:created>
  <dcterms:modified xsi:type="dcterms:W3CDTF">2025-10-31T08:51:38Z</dcterms:modified>
</cp:coreProperties>
</file>