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firstLine="709"/>
        <w:jc w:val="both"/>
        <w:rPr>
          <w:b/>
          <w:bCs/>
        </w:rPr>
      </w:pPr>
      <w:r>
        <w:rPr>
          <w:b/>
        </w:rPr>
      </w:r>
      <w:r>
        <w:rPr>
          <w:b/>
          <w:bCs/>
        </w:rPr>
      </w:r>
      <w:r>
        <w:rPr>
          <w:b/>
          <w:bCs/>
        </w:rPr>
      </w:r>
    </w:p>
    <w:p>
      <w:pPr>
        <w:ind w:firstLine="709"/>
        <w:jc w:val="both"/>
        <w:rPr>
          <w:b/>
          <w:bCs/>
        </w:rPr>
      </w:pPr>
      <w:r>
        <w:rPr>
          <w:b/>
          <w:bCs/>
        </w:rPr>
      </w:r>
      <w:r>
        <w:rPr>
          <w:b/>
          <w:bCs/>
        </w:rPr>
      </w:r>
      <w:r>
        <w:rPr>
          <w:b/>
          <w:bCs/>
        </w:rPr>
      </w: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АНАЛИТИЧЕСКАЯ ЗАПИСКА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итогах социально-экономического развития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ind w:right="-28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Новосибирского района Новосибирской области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ind w:right="-28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2023 год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ind w:firstLine="0"/>
        <w:jc w:val="both"/>
        <w:rPr>
          <w:b/>
          <w:bCs/>
        </w:rPr>
      </w:pPr>
      <w:r>
        <w:rPr>
          <w:b/>
        </w:rPr>
      </w:r>
      <w:r>
        <w:rPr>
          <w:b/>
          <w:bCs/>
        </w:rPr>
      </w:r>
      <w:r>
        <w:rPr>
          <w:b/>
          <w:bCs/>
        </w:rPr>
      </w:r>
    </w:p>
    <w:p>
      <w:pPr>
        <w:numPr>
          <w:ilvl w:val="0"/>
          <w:numId w:val="1"/>
        </w:numPr>
        <w:contextualSpacing/>
        <w:jc w:val="both"/>
        <w:rPr>
          <w:b/>
          <w:sz w:val="28"/>
        </w:rPr>
      </w:pPr>
      <w:r>
        <w:rPr>
          <w:b/>
          <w:sz w:val="28"/>
        </w:rPr>
        <w:t xml:space="preserve">Экономическое развитие Новосибирского района</w:t>
      </w:r>
      <w:r>
        <w:rPr>
          <w:b/>
          <w:sz w:val="28"/>
        </w:rPr>
      </w:r>
      <w:r>
        <w:rPr>
          <w:b/>
          <w:sz w:val="28"/>
        </w:rPr>
      </w:r>
    </w:p>
    <w:p>
      <w:pPr>
        <w:ind w:left="-567"/>
        <w:jc w:val="both"/>
        <w:spacing w:line="288" w:lineRule="auto"/>
        <w:rPr>
          <w:b/>
        </w:rPr>
      </w:pPr>
      <w:r>
        <w:rPr>
          <w:b/>
        </w:rPr>
      </w:r>
      <w:r>
        <w:rPr>
          <w:b/>
        </w:rPr>
      </w:r>
      <w:r>
        <w:rPr>
          <w:b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highlight w:val="white"/>
        </w:rPr>
        <w:t xml:space="preserve">Общий объем отгруженных товаров, выполненных работ и услуг предприятиями Новосибирского района в 2023 году составил 244,3 млрд руб., темп роста к уровню 2022 года составил 114,5 %, индекс физического объёма – 108,5 %. </w:t>
      </w:r>
      <w:r>
        <w:rPr>
          <w:color w:val="000000" w:themeColor="text1"/>
          <w:sz w:val="28"/>
          <w:szCs w:val="28"/>
          <w:highlight w:val="yellow"/>
        </w:rPr>
        <w:t xml:space="preserve"> 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numPr>
          <w:ilvl w:val="1"/>
          <w:numId w:val="2"/>
        </w:numPr>
        <w:ind w:left="0" w:firstLine="709"/>
        <w:jc w:val="both"/>
        <w:tabs>
          <w:tab w:val="left" w:pos="0" w:leader="none"/>
        </w:tabs>
        <w:rPr>
          <w:b/>
          <w:i/>
          <w:sz w:val="28"/>
          <w:highlight w:val="white"/>
        </w:rPr>
        <w:outlineLvl w:val="1"/>
      </w:pPr>
      <w:r>
        <w:rPr>
          <w:b/>
          <w:i/>
          <w:sz w:val="28"/>
          <w:highlight w:val="white"/>
        </w:rPr>
        <w:t xml:space="preserve">Промышленность </w:t>
      </w:r>
      <w:r>
        <w:rPr>
          <w:b/>
          <w:i/>
          <w:sz w:val="28"/>
          <w:highlight w:val="white"/>
        </w:rPr>
      </w:r>
      <w:r>
        <w:rPr>
          <w:b/>
          <w:i/>
          <w:sz w:val="28"/>
          <w:highlight w:val="white"/>
        </w:rPr>
      </w:r>
    </w:p>
    <w:p>
      <w:pPr>
        <w:ind w:left="420"/>
        <w:jc w:val="both"/>
        <w:tabs>
          <w:tab w:val="left" w:pos="0" w:leader="none"/>
        </w:tabs>
        <w:rPr>
          <w:b/>
          <w:bCs/>
          <w:i/>
          <w:sz w:val="28"/>
          <w:szCs w:val="28"/>
          <w:highlight w:val="white"/>
        </w:rPr>
        <w:outlineLvl w:val="1"/>
      </w:pPr>
      <w:r>
        <w:rPr>
          <w:b/>
          <w:bCs/>
          <w:i/>
          <w:sz w:val="28"/>
          <w:szCs w:val="28"/>
          <w:highlight w:val="white"/>
        </w:rPr>
      </w:r>
      <w:r>
        <w:rPr>
          <w:b/>
          <w:bCs/>
          <w:i/>
          <w:sz w:val="28"/>
          <w:szCs w:val="28"/>
          <w:highlight w:val="white"/>
        </w:rPr>
      </w:r>
      <w:r>
        <w:rPr>
          <w:b/>
          <w:bCs/>
          <w:i/>
          <w:sz w:val="28"/>
          <w:szCs w:val="28"/>
          <w:highlight w:val="white"/>
        </w:rPr>
      </w:r>
    </w:p>
    <w:p>
      <w:pPr>
        <w:ind w:firstLine="709"/>
        <w:jc w:val="both"/>
        <w:rPr>
          <w:color w:val="000000" w:themeColor="text1"/>
          <w:sz w:val="28"/>
          <w:szCs w:val="28"/>
          <w:highlight w:val="whit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color w:val="000000" w:themeColor="text1"/>
          <w:sz w:val="28"/>
          <w:szCs w:val="28"/>
        </w:rPr>
        <w:t xml:space="preserve"> </w:t>
      </w:r>
      <w:r>
        <w:rPr>
          <w:color w:val="000000" w:themeColor="text1"/>
          <w:sz w:val="28"/>
          <w:szCs w:val="28"/>
          <w:highlight w:val="white"/>
        </w:rPr>
        <w:t xml:space="preserve">В </w:t>
      </w:r>
      <w:r>
        <w:rPr>
          <w:color w:val="000000" w:themeColor="text1"/>
          <w:sz w:val="28"/>
          <w:szCs w:val="28"/>
          <w:highlight w:val="white"/>
        </w:rPr>
        <w:t xml:space="preserve">2023  году</w:t>
      </w:r>
      <w:r>
        <w:rPr>
          <w:color w:val="000000" w:themeColor="text1"/>
          <w:sz w:val="28"/>
          <w:szCs w:val="28"/>
          <w:highlight w:val="white"/>
        </w:rPr>
        <w:t xml:space="preserve"> </w:t>
      </w:r>
      <w:r>
        <w:rPr>
          <w:sz w:val="28"/>
          <w:highlight w:val="white"/>
        </w:rPr>
        <w:t xml:space="preserve">индекс промышленного производства Новосибирского района  составил 110 %. </w:t>
      </w:r>
      <w:r>
        <w:rPr>
          <w:color w:val="000000" w:themeColor="text1"/>
          <w:sz w:val="28"/>
          <w:szCs w:val="28"/>
        </w:rPr>
        <w:t xml:space="preserve"> </w:t>
      </w:r>
      <w:r>
        <w:rPr>
          <w:color w:val="000000" w:themeColor="text1"/>
          <w:sz w:val="28"/>
          <w:szCs w:val="28"/>
          <w:highlight w:val="white"/>
        </w:rPr>
      </w:r>
      <w:r>
        <w:rPr>
          <w:color w:val="000000" w:themeColor="text1"/>
          <w:sz w:val="28"/>
          <w:szCs w:val="28"/>
          <w:highlight w:val="white"/>
        </w:rPr>
      </w:r>
    </w:p>
    <w:p>
      <w:pPr>
        <w:ind w:firstLine="708"/>
        <w:jc w:val="both"/>
        <w:rPr>
          <w:sz w:val="28"/>
          <w:szCs w:val="28"/>
        </w:rPr>
      </w:pPr>
      <w:r>
        <w:rPr>
          <w:sz w:val="28"/>
          <w:highlight w:val="white"/>
        </w:rPr>
        <w:t xml:space="preserve"> Объем отгруженных товаров, выполненных работ и услуг промышленными предприятиями района за 2023 </w:t>
      </w:r>
      <w:r>
        <w:rPr>
          <w:sz w:val="28"/>
          <w:highlight w:val="white"/>
        </w:rPr>
        <w:t xml:space="preserve">год  –</w:t>
      </w:r>
      <w:r>
        <w:rPr>
          <w:sz w:val="28"/>
        </w:rPr>
        <w:t xml:space="preserve"> </w:t>
      </w:r>
      <w:r>
        <w:rPr>
          <w:sz w:val="28"/>
          <w:highlight w:val="white"/>
        </w:rPr>
        <w:t xml:space="preserve">126,7 млрд руб.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Промышленный комплекс Новосибирского района формирует 51,9 % от общего объема продукции, произведенной в районе.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В структуре промышленного производства наибольшую долю занимает пищевая отрасль – 67,3%, производство строительных материалов </w:t>
      </w:r>
      <w:r>
        <w:rPr>
          <w:sz w:val="28"/>
          <w:highlight w:val="white"/>
        </w:rPr>
        <w:t xml:space="preserve">составляет  14</w:t>
      </w:r>
      <w:r>
        <w:rPr>
          <w:sz w:val="28"/>
          <w:highlight w:val="white"/>
        </w:rPr>
        <w:t xml:space="preserve">,4 %, производство металлических изделий и машиностроение – 8,1 %. 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Высокие темпы </w:t>
      </w:r>
      <w:r>
        <w:rPr>
          <w:sz w:val="28"/>
          <w:highlight w:val="white"/>
        </w:rPr>
        <w:t xml:space="preserve">роста  по</w:t>
      </w:r>
      <w:r>
        <w:rPr>
          <w:sz w:val="28"/>
          <w:highlight w:val="white"/>
        </w:rPr>
        <w:t xml:space="preserve"> итогам года обеспечили предприятия по производству строительных материалов  ООО «</w:t>
      </w:r>
      <w:r>
        <w:rPr>
          <w:sz w:val="28"/>
          <w:highlight w:val="white"/>
        </w:rPr>
        <w:t xml:space="preserve">Бергауф</w:t>
      </w:r>
      <w:r>
        <w:rPr>
          <w:sz w:val="28"/>
          <w:highlight w:val="white"/>
        </w:rPr>
        <w:t xml:space="preserve"> Марусино» (128,8%),  ООО «Норд-ЛК2» (117,3%)</w:t>
      </w:r>
      <w:r>
        <w:rPr>
          <w:sz w:val="28"/>
        </w:rPr>
        <w:t xml:space="preserve">, </w:t>
      </w:r>
      <w:r>
        <w:rPr>
          <w:sz w:val="28"/>
          <w:highlight w:val="white"/>
        </w:rPr>
        <w:t xml:space="preserve">ООО «</w:t>
      </w:r>
      <w:r>
        <w:rPr>
          <w:sz w:val="28"/>
          <w:highlight w:val="white"/>
        </w:rPr>
        <w:t xml:space="preserve">Юнис</w:t>
      </w:r>
      <w:r>
        <w:rPr>
          <w:sz w:val="28"/>
          <w:highlight w:val="white"/>
        </w:rPr>
        <w:t xml:space="preserve"> Сибирь» (116,7%),</w:t>
      </w:r>
      <w:r>
        <w:rPr>
          <w:sz w:val="28"/>
        </w:rPr>
        <w:t xml:space="preserve"> </w:t>
      </w:r>
      <w:r>
        <w:rPr>
          <w:sz w:val="28"/>
          <w:highlight w:val="white"/>
        </w:rPr>
        <w:t xml:space="preserve">ООО ЗКПД «</w:t>
      </w:r>
      <w:r>
        <w:rPr>
          <w:sz w:val="28"/>
          <w:highlight w:val="white"/>
        </w:rPr>
        <w:t xml:space="preserve">Арматон</w:t>
      </w:r>
      <w:r>
        <w:rPr>
          <w:sz w:val="28"/>
          <w:highlight w:val="white"/>
        </w:rPr>
        <w:t xml:space="preserve">» (113,2%). Большие объёмы производства в 2023 году показали ООО «Века Рус», ООО «ЛАБ </w:t>
      </w:r>
      <w:r>
        <w:rPr>
          <w:sz w:val="28"/>
          <w:highlight w:val="white"/>
        </w:rPr>
        <w:t xml:space="preserve">Индастриз</w:t>
      </w:r>
      <w:r>
        <w:rPr>
          <w:sz w:val="28"/>
          <w:highlight w:val="white"/>
        </w:rPr>
        <w:t xml:space="preserve">», ООО «</w:t>
      </w:r>
      <w:r>
        <w:rPr>
          <w:sz w:val="28"/>
          <w:highlight w:val="white"/>
        </w:rPr>
        <w:t xml:space="preserve">Сибалютекс</w:t>
      </w:r>
      <w:r>
        <w:rPr>
          <w:sz w:val="28"/>
          <w:highlight w:val="white"/>
        </w:rPr>
        <w:t xml:space="preserve">-Ресурс».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Предприятия по производству металлических изделий и машиностроения: ООО «</w:t>
      </w:r>
      <w:r>
        <w:rPr>
          <w:sz w:val="28"/>
          <w:highlight w:val="white"/>
        </w:rPr>
        <w:t xml:space="preserve">Алютех</w:t>
      </w:r>
      <w:r>
        <w:rPr>
          <w:sz w:val="28"/>
          <w:highlight w:val="white"/>
        </w:rPr>
        <w:t xml:space="preserve"> – Сибирь» и ООО «</w:t>
      </w:r>
      <w:r>
        <w:rPr>
          <w:sz w:val="28"/>
          <w:highlight w:val="white"/>
        </w:rPr>
        <w:t xml:space="preserve">ДорХан</w:t>
      </w:r>
      <w:r>
        <w:rPr>
          <w:sz w:val="28"/>
          <w:highlight w:val="white"/>
        </w:rPr>
        <w:t xml:space="preserve"> 21 век – Новосибирск» – обеспечили в среднем за год рост 116 %.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red"/>
        </w:rPr>
      </w:pPr>
      <w:r>
        <w:rPr>
          <w:sz w:val="28"/>
          <w:highlight w:val="white"/>
        </w:rPr>
        <w:t xml:space="preserve"> В пищевой отрасли высокие показатели темпов роста достигли: ООО «Марс» (136,2 %), ООО «Сибирский Гурман» (127,5 %), ООО «КДВ Новосибирск» (115 %)</w:t>
      </w:r>
      <w:r>
        <w:rPr>
          <w:sz w:val="28"/>
        </w:rPr>
        <w:t xml:space="preserve">, </w:t>
      </w:r>
      <w:r>
        <w:rPr>
          <w:sz w:val="28"/>
          <w:highlight w:val="white"/>
        </w:rPr>
        <w:t xml:space="preserve">филиал АО «АБ </w:t>
      </w:r>
      <w:r>
        <w:rPr>
          <w:sz w:val="28"/>
          <w:highlight w:val="white"/>
        </w:rPr>
        <w:t xml:space="preserve">ИнБев</w:t>
      </w:r>
      <w:r>
        <w:rPr>
          <w:sz w:val="28"/>
          <w:highlight w:val="white"/>
        </w:rPr>
        <w:t xml:space="preserve">-Эфес» (113,2 %). </w:t>
      </w:r>
      <w:r>
        <w:rPr>
          <w:sz w:val="28"/>
          <w:szCs w:val="28"/>
          <w:highlight w:val="red"/>
        </w:rPr>
      </w:r>
      <w:r>
        <w:rPr>
          <w:sz w:val="28"/>
          <w:szCs w:val="28"/>
          <w:highlight w:val="red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highlight w:val="white"/>
        </w:rPr>
        <w:t xml:space="preserve">Среднесписочная численность работников крупных и средних предприятий промышленности района по итогам 2023 года увеличилась на 1,8 % и составила 7 832 человека.  Среднемесячная заработная плата работников – 73452 руб., темп роста к 2022 году – 112,2 %.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jc w:val="both"/>
        <w:tabs>
          <w:tab w:val="left" w:pos="709" w:leader="none"/>
          <w:tab w:val="left" w:pos="10206" w:leader="none"/>
        </w:tabs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98"/>
        <w:numPr>
          <w:ilvl w:val="1"/>
          <w:numId w:val="2"/>
        </w:numPr>
        <w:ind w:left="709" w:firstLine="0"/>
        <w:tabs>
          <w:tab w:val="left" w:pos="0" w:leader="none"/>
        </w:tabs>
        <w:rPr>
          <w:b/>
          <w:i/>
        </w:rPr>
      </w:pPr>
      <w:r>
        <w:rPr>
          <w:b/>
          <w:i/>
        </w:rPr>
        <w:t xml:space="preserve">Инвестиции</w:t>
      </w:r>
      <w:r>
        <w:rPr>
          <w:b/>
          <w:i/>
        </w:rPr>
      </w:r>
      <w:r>
        <w:rPr>
          <w:b/>
          <w:i/>
        </w:rPr>
      </w:r>
    </w:p>
    <w:p>
      <w:pPr>
        <w:ind w:firstLine="709"/>
        <w:jc w:val="both"/>
        <w:rPr>
          <w:sz w:val="28"/>
          <w:szCs w:val="28"/>
          <w:highlight w:val="white"/>
          <w14:ligatures w14:val="none"/>
        </w:rPr>
      </w:pP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  <w14:ligatures w14:val="none"/>
        </w:rPr>
      </w:r>
      <w:r>
        <w:rPr>
          <w:sz w:val="28"/>
          <w:szCs w:val="28"/>
          <w:highlight w:val="white"/>
          <w14:ligatures w14:val="none"/>
        </w:rPr>
      </w:r>
    </w:p>
    <w:p>
      <w:pPr>
        <w:ind w:firstLine="709"/>
        <w:jc w:val="both"/>
        <w:rPr>
          <w:sz w:val="28"/>
          <w:szCs w:val="28"/>
          <w:highlight w:val="white"/>
          <w14:ligatures w14:val="none"/>
        </w:rPr>
      </w:pPr>
      <w:r>
        <w:rPr>
          <w:sz w:val="28"/>
          <w:szCs w:val="28"/>
          <w:highlight w:val="white"/>
          <w:lang w:eastAsia="en-US"/>
        </w:rPr>
        <w:t xml:space="preserve">В 2023 году Новосибирский район уже четвертый год подряд является лидером в рейтинге Новосибирской области по содействию развитию конкуренции и обеспечению условий для благоприятного инвестиционного климата среди муниципальных районов. </w:t>
      </w:r>
      <w:r>
        <w:rPr>
          <w:sz w:val="28"/>
          <w:szCs w:val="28"/>
          <w:highlight w:val="white"/>
          <w14:ligatures w14:val="none"/>
        </w:rPr>
      </w:r>
      <w:r>
        <w:rPr>
          <w:sz w:val="28"/>
          <w:szCs w:val="28"/>
          <w:highlight w:val="white"/>
          <w14:ligatures w14:val="none"/>
        </w:rPr>
      </w:r>
    </w:p>
    <w:p>
      <w:pPr>
        <w:ind w:firstLine="709"/>
        <w:jc w:val="both"/>
        <w:rPr>
          <w:sz w:val="28"/>
          <w:szCs w:val="28"/>
          <w:highlight w:val="white"/>
          <w14:ligatures w14:val="none"/>
        </w:rPr>
      </w:pPr>
      <w:r>
        <w:rPr>
          <w:sz w:val="28"/>
          <w:szCs w:val="28"/>
          <w:highlight w:val="white"/>
          <w:lang w:eastAsia="en-US"/>
        </w:rPr>
        <w:t xml:space="preserve">Привлечен</w:t>
      </w:r>
      <w:r>
        <w:rPr>
          <w:sz w:val="28"/>
          <w:szCs w:val="28"/>
          <w:highlight w:val="white"/>
          <w:lang w:eastAsia="en-US"/>
        </w:rPr>
        <w:t xml:space="preserve">ие инвестиций в экономику района является одной из важнейших задач администрации Новосибирского района. Рост инвестиций напрямую связан с увеличением налоговых поступлений в бюджет, созданием новых рабочих мест, с уровнем качества жизни населения в районе.</w:t>
      </w:r>
      <w:r>
        <w:rPr>
          <w:sz w:val="28"/>
          <w:szCs w:val="28"/>
          <w:highlight w:val="white"/>
          <w14:ligatures w14:val="none"/>
        </w:rPr>
      </w:r>
      <w:r>
        <w:rPr>
          <w:sz w:val="28"/>
          <w:szCs w:val="28"/>
          <w:highlight w:val="white"/>
          <w14:ligatures w14:val="none"/>
        </w:rPr>
      </w:r>
    </w:p>
    <w:p>
      <w:pPr>
        <w:ind w:firstLine="709"/>
        <w:jc w:val="both"/>
        <w:rPr>
          <w:sz w:val="28"/>
          <w:szCs w:val="28"/>
          <w:highlight w:val="white"/>
          <w14:ligatures w14:val="none"/>
        </w:rPr>
      </w:pPr>
      <w:r>
        <w:rPr>
          <w:sz w:val="28"/>
          <w:szCs w:val="28"/>
          <w:highlight w:val="white"/>
          <w:lang w:eastAsia="en-US"/>
        </w:rPr>
        <w:t xml:space="preserve"> В 2023 году объем инвестиций в основной капитал (за счет всех источников финансирования) по всем отраслям экономики составил 60,1 млрд </w:t>
      </w:r>
      <w:r>
        <w:rPr>
          <w:sz w:val="28"/>
          <w:szCs w:val="28"/>
          <w:highlight w:val="white"/>
        </w:rPr>
        <w:t xml:space="preserve">руб., темп роста к уровню 2022 года – 119,3 % (индекс физического объема – 112,7 %). </w:t>
      </w:r>
      <w:r>
        <w:rPr>
          <w:sz w:val="28"/>
          <w:szCs w:val="28"/>
          <w:highlight w:val="white"/>
        </w:rPr>
        <w:t xml:space="preserve">Д</w:t>
      </w:r>
      <w:r>
        <w:rPr>
          <w:sz w:val="28"/>
          <w:szCs w:val="28"/>
          <w:highlight w:val="white"/>
        </w:rPr>
        <w:t xml:space="preserve">оля Новосибирского района в объеме инвестиций по области – 17,5%.</w:t>
      </w:r>
      <w:r>
        <w:rPr>
          <w:sz w:val="28"/>
          <w:szCs w:val="28"/>
          <w:highlight w:val="white"/>
        </w:rPr>
        <w:t xml:space="preserve"> </w:t>
      </w:r>
      <w:r>
        <w:rPr>
          <w:sz w:val="28"/>
          <w:szCs w:val="28"/>
          <w:highlight w:val="white"/>
        </w:rPr>
        <w:t xml:space="preserve">Инвестиции за счет бюджетных средств выросли на 23,4 %. </w:t>
      </w:r>
      <w:r>
        <w:rPr>
          <w:sz w:val="28"/>
          <w:szCs w:val="28"/>
          <w:highlight w:val="white"/>
          <w14:ligatures w14:val="none"/>
        </w:rPr>
      </w:r>
      <w:r>
        <w:rPr>
          <w:sz w:val="28"/>
          <w:szCs w:val="28"/>
          <w:highlight w:val="white"/>
          <w14:ligatures w14:val="none"/>
        </w:rPr>
      </w:r>
    </w:p>
    <w:p>
      <w:pPr>
        <w:ind w:firstLine="709"/>
        <w:jc w:val="both"/>
        <w:rPr>
          <w:sz w:val="28"/>
          <w:szCs w:val="28"/>
          <w:highlight w:val="none"/>
          <w14:ligatures w14:val="none"/>
        </w:rPr>
      </w:pPr>
      <w:r>
        <w:rPr>
          <w:sz w:val="28"/>
          <w:szCs w:val="28"/>
          <w:highlight w:val="white"/>
          <w:lang w:eastAsia="en-US"/>
        </w:rPr>
        <w:t xml:space="preserve">Отличительной чертой Новосибирского района в регионе можно отметить наличие успешно развивающихся промыш</w:t>
      </w:r>
      <w:r>
        <w:rPr>
          <w:sz w:val="28"/>
          <w:szCs w:val="28"/>
          <w:highlight w:val="white"/>
          <w:lang w:eastAsia="en-US"/>
        </w:rPr>
        <w:t xml:space="preserve">ленно-логистических парков. Практика </w:t>
      </w:r>
      <w:r>
        <w:rPr>
          <w:sz w:val="28"/>
          <w:szCs w:val="28"/>
          <w:highlight w:val="white"/>
          <w:lang w:eastAsia="en-US"/>
        </w:rPr>
        <w:t xml:space="preserve">создания парков с готовой инфраструктуро</w:t>
      </w:r>
      <w:r>
        <w:rPr>
          <w:sz w:val="28"/>
          <w:szCs w:val="28"/>
          <w:highlight w:val="white"/>
          <w:lang w:eastAsia="en-US"/>
        </w:rPr>
        <w:t xml:space="preserve">й и государственной поддержкой </w:t>
      </w:r>
      <w:r>
        <w:rPr>
          <w:sz w:val="28"/>
          <w:szCs w:val="28"/>
          <w:highlight w:val="none"/>
          <w:lang w:eastAsia="en-US"/>
        </w:rPr>
        <w:t xml:space="preserve">привлекательна для резидентов из соседних регионов. Сегодня на территории района их 7 и получили поддержку Губернатора Новосибирской области еще 2: </w:t>
      </w:r>
      <w:r>
        <w:rPr>
          <w:sz w:val="28"/>
          <w:szCs w:val="28"/>
          <w:highlight w:val="none"/>
          <w14:ligatures w14:val="none"/>
        </w:rPr>
      </w:r>
      <w:r>
        <w:rPr>
          <w:sz w:val="28"/>
          <w:szCs w:val="28"/>
          <w:highlight w:val="none"/>
          <w14:ligatures w14:val="none"/>
        </w:rPr>
      </w:r>
    </w:p>
    <w:p>
      <w:pPr>
        <w:pStyle w:val="898"/>
        <w:numPr>
          <w:ilvl w:val="0"/>
          <w:numId w:val="16"/>
        </w:numPr>
        <w:ind w:left="0" w:firstLine="709"/>
        <w:rPr>
          <w:highlight w:val="none"/>
          <w:lang w:eastAsia="en-US"/>
          <w14:ligatures w14:val="none"/>
        </w:rPr>
      </w:pPr>
      <w:r>
        <w:rPr>
          <w:highlight w:val="none"/>
          <w:lang w:eastAsia="en-US"/>
        </w:rPr>
        <w:t xml:space="preserve">Мичуринский кластер – ООО «ДЛГ» (</w:t>
      </w:r>
      <w:r>
        <w:rPr>
          <w:highlight w:val="none"/>
          <w:lang w:val="en-US" w:eastAsia="en-US"/>
        </w:rPr>
        <w:t xml:space="preserve">Delight</w:t>
      </w:r>
      <w:r>
        <w:rPr>
          <w:highlight w:val="none"/>
          <w:lang w:eastAsia="en-US"/>
        </w:rPr>
        <w:t xml:space="preserve"> </w:t>
      </w:r>
      <w:r>
        <w:rPr>
          <w:highlight w:val="none"/>
          <w:lang w:val="en-US" w:eastAsia="en-US"/>
        </w:rPr>
        <w:t xml:space="preserve">group</w:t>
      </w:r>
      <w:r>
        <w:rPr>
          <w:highlight w:val="none"/>
          <w:lang w:eastAsia="en-US"/>
        </w:rPr>
        <w:t xml:space="preserve"> – это собственное производство светодиодных светильников) – инвестиционный проект «Строительство индустриального парка </w:t>
      </w:r>
      <w:r>
        <w:rPr>
          <w:highlight w:val="none"/>
          <w:lang w:val="en-US" w:eastAsia="en-US"/>
        </w:rPr>
        <w:t xml:space="preserve">Light</w:t>
      </w:r>
      <w:r>
        <w:rPr>
          <w:highlight w:val="none"/>
          <w:lang w:eastAsia="en-US"/>
        </w:rPr>
        <w:t xml:space="preserve"> </w:t>
      </w:r>
      <w:r>
        <w:rPr>
          <w:highlight w:val="none"/>
          <w:lang w:val="en-US" w:eastAsia="en-US"/>
        </w:rPr>
        <w:t xml:space="preserve">Industrial</w:t>
      </w:r>
      <w:r>
        <w:rPr>
          <w:highlight w:val="none"/>
          <w:lang w:eastAsia="en-US"/>
        </w:rPr>
        <w:t xml:space="preserve">» на земельном участке общей площадью 20 га. Общая сумма инвестиций по проекту – 4,2 млрд руб., планируемое количество создаваемых рабочих мест – 54;</w:t>
      </w:r>
      <w:r>
        <w:rPr>
          <w:highlight w:val="none"/>
          <w:lang w:eastAsia="en-US"/>
          <w14:ligatures w14:val="none"/>
        </w:rPr>
      </w:r>
      <w:r>
        <w:rPr>
          <w:highlight w:val="none"/>
          <w:lang w:eastAsia="en-US"/>
          <w14:ligatures w14:val="none"/>
        </w:rPr>
      </w:r>
    </w:p>
    <w:p>
      <w:pPr>
        <w:pStyle w:val="898"/>
        <w:numPr>
          <w:ilvl w:val="0"/>
          <w:numId w:val="16"/>
        </w:numPr>
        <w:ind w:left="0" w:firstLine="709"/>
        <w:rPr>
          <w:highlight w:val="none"/>
          <w:lang w:eastAsia="en-US"/>
          <w14:ligatures w14:val="none"/>
        </w:rPr>
      </w:pPr>
      <w:r>
        <w:rPr>
          <w:highlight w:val="none"/>
          <w:lang w:eastAsia="en-US"/>
        </w:rPr>
        <w:t xml:space="preserve">ПЛП «Иня» – создание «Промышленно-логистический (индустриального) парка «Иня». Общая сумма плановых инвестиций, предусмотренная проектом – 4,6 млрд руб., планируемое количество создаваемых рабочих м</w:t>
      </w:r>
      <w:r>
        <w:rPr>
          <w:highlight w:val="none"/>
          <w:lang w:eastAsia="en-US"/>
        </w:rPr>
        <w:t xml:space="preserve">ест – 442.</w:t>
      </w:r>
      <w:r>
        <w:rPr>
          <w:highlight w:val="none"/>
          <w:lang w:eastAsia="en-US"/>
          <w14:ligatures w14:val="none"/>
        </w:rPr>
      </w:r>
      <w:r>
        <w:rPr>
          <w:highlight w:val="none"/>
          <w:lang w:eastAsia="en-US"/>
          <w14:ligatures w14:val="none"/>
        </w:rPr>
      </w:r>
    </w:p>
    <w:p>
      <w:pPr>
        <w:ind w:left="0" w:right="0" w:firstLine="709"/>
        <w:jc w:val="both"/>
        <w:rPr>
          <w:highlight w:val="none"/>
          <w:lang w:eastAsia="en-US"/>
          <w14:ligatures w14:val="none"/>
        </w:rPr>
      </w:pPr>
      <w:r>
        <w:rPr>
          <w:sz w:val="28"/>
          <w:szCs w:val="28"/>
          <w:highlight w:val="none"/>
          <w:lang w:eastAsia="en-US"/>
        </w:rPr>
        <w:t xml:space="preserve">Значительное влияние на развитие экономики района в настоящее время оказывает деятельность одного из наиболее крупных инвестиционных проектов Новосибирской области – Промышленно-логистический парк (ПЛП) </w:t>
      </w:r>
      <w:r>
        <w:rPr>
          <w:sz w:val="28"/>
          <w:szCs w:val="28"/>
          <w:highlight w:val="none"/>
          <w:lang w:eastAsia="en-US"/>
        </w:rPr>
        <w:t xml:space="preserve">Толмачевский</w:t>
      </w:r>
      <w:r>
        <w:rPr>
          <w:sz w:val="28"/>
          <w:szCs w:val="28"/>
          <w:highlight w:val="none"/>
          <w:lang w:eastAsia="en-US"/>
        </w:rPr>
        <w:t xml:space="preserve">. На территории ПЛП осуществляют реализацию инвестиционных </w:t>
      </w:r>
      <w:r>
        <w:rPr>
          <w:sz w:val="28"/>
          <w:szCs w:val="28"/>
          <w:highlight w:val="none"/>
          <w:lang w:eastAsia="en-US"/>
        </w:rPr>
        <w:t xml:space="preserve">проектов 26 компаний-резидентов, из них в 2023 году приступили к реализации своих проектов: </w:t>
      </w:r>
      <w:r>
        <w:rPr>
          <w:highlight w:val="none"/>
          <w:lang w:eastAsia="en-US"/>
          <w14:ligatures w14:val="none"/>
        </w:rPr>
      </w:r>
      <w:r>
        <w:rPr>
          <w:highlight w:val="none"/>
          <w:lang w:eastAsia="en-US"/>
          <w14:ligatures w14:val="none"/>
        </w:rPr>
      </w:r>
    </w:p>
    <w:p>
      <w:pPr>
        <w:pStyle w:val="898"/>
        <w:numPr>
          <w:ilvl w:val="0"/>
          <w:numId w:val="16"/>
        </w:numPr>
        <w:ind w:left="0" w:firstLine="709"/>
        <w:rPr>
          <w:sz w:val="28"/>
          <w:szCs w:val="28"/>
          <w:highlight w:val="white"/>
          <w:lang w:eastAsia="en-US"/>
        </w:rPr>
      </w:pPr>
      <w:r>
        <w:rPr>
          <w:highlight w:val="none"/>
          <w:lang w:eastAsia="en-US"/>
        </w:rPr>
        <w:t xml:space="preserve">ООО «ТД</w:t>
      </w:r>
      <w:r>
        <w:rPr>
          <w:sz w:val="28"/>
          <w:szCs w:val="28"/>
          <w:highlight w:val="white"/>
          <w:lang w:eastAsia="en-US"/>
        </w:rPr>
        <w:t xml:space="preserve">С» (</w:t>
      </w:r>
      <w:r>
        <w:rPr>
          <w:sz w:val="28"/>
          <w:szCs w:val="28"/>
          <w:highlight w:val="white"/>
          <w:lang w:eastAsia="en-US"/>
        </w:rPr>
        <w:t xml:space="preserve">Толмачевский</w:t>
      </w:r>
      <w:r>
        <w:rPr>
          <w:sz w:val="28"/>
          <w:szCs w:val="28"/>
          <w:highlight w:val="white"/>
          <w:lang w:eastAsia="en-US"/>
        </w:rPr>
        <w:t xml:space="preserve"> сельсовет, ПЛП) – Строительство и эксплуатация асфальтобетонного завода с предполагаемым объемом выпускаемой продукции 80 000 тонн в год (300 млрд руб., 40 </w:t>
      </w:r>
      <w:r>
        <w:rPr>
          <w:sz w:val="28"/>
          <w:szCs w:val="28"/>
          <w:highlight w:val="white"/>
          <w:lang w:eastAsia="en-US"/>
        </w:rPr>
        <w:t xml:space="preserve">раб.мест</w:t>
      </w:r>
      <w:r>
        <w:rPr>
          <w:sz w:val="28"/>
          <w:szCs w:val="28"/>
          <w:highlight w:val="white"/>
          <w:lang w:eastAsia="en-US"/>
        </w:rPr>
        <w:t xml:space="preserve">);</w:t>
      </w:r>
      <w:r>
        <w:rPr>
          <w:sz w:val="28"/>
          <w:szCs w:val="28"/>
          <w:highlight w:val="white"/>
          <w:lang w:eastAsia="en-US"/>
        </w:rPr>
      </w:r>
      <w:r>
        <w:rPr>
          <w:sz w:val="28"/>
          <w:szCs w:val="28"/>
          <w:highlight w:val="white"/>
          <w:lang w:eastAsia="en-US"/>
        </w:rPr>
      </w:r>
    </w:p>
    <w:p>
      <w:pPr>
        <w:pStyle w:val="898"/>
        <w:numPr>
          <w:ilvl w:val="0"/>
          <w:numId w:val="16"/>
        </w:numPr>
        <w:ind w:left="0" w:firstLine="709"/>
        <w:jc w:val="both"/>
        <w:rPr>
          <w:sz w:val="28"/>
          <w:szCs w:val="28"/>
          <w:highlight w:val="white"/>
          <w:lang w:eastAsia="en-US"/>
        </w:rPr>
      </w:pPr>
      <w:r>
        <w:rPr>
          <w:sz w:val="28"/>
          <w:szCs w:val="28"/>
          <w:highlight w:val="white"/>
          <w:lang w:eastAsia="en-US"/>
        </w:rPr>
        <w:t xml:space="preserve">ООО «Патриот НСК» (</w:t>
      </w:r>
      <w:r>
        <w:rPr>
          <w:sz w:val="28"/>
          <w:szCs w:val="28"/>
          <w:highlight w:val="white"/>
          <w:lang w:eastAsia="en-US"/>
        </w:rPr>
        <w:t xml:space="preserve">Толмачевский</w:t>
      </w:r>
      <w:r>
        <w:rPr>
          <w:sz w:val="28"/>
          <w:szCs w:val="28"/>
          <w:highlight w:val="white"/>
          <w:lang w:eastAsia="en-US"/>
        </w:rPr>
        <w:t xml:space="preserve"> сельсовет, ПЛП) – Строительство производственно-логистического комплекса (10 млрд руб. 1000 </w:t>
      </w:r>
      <w:r>
        <w:rPr>
          <w:sz w:val="28"/>
          <w:szCs w:val="28"/>
          <w:highlight w:val="white"/>
          <w:lang w:eastAsia="en-US"/>
        </w:rPr>
        <w:t xml:space="preserve">раб.мест</w:t>
      </w:r>
      <w:r>
        <w:rPr>
          <w:sz w:val="28"/>
          <w:szCs w:val="28"/>
          <w:highlight w:val="white"/>
          <w:lang w:eastAsia="en-US"/>
        </w:rPr>
        <w:t xml:space="preserve">). Предприятие планирует оказывать полный комплекс логистических услуг, а также наладить выпуск садовой и силовой техники с высокой степенью локализации производства;</w:t>
      </w:r>
      <w:r>
        <w:rPr>
          <w:sz w:val="28"/>
          <w:szCs w:val="28"/>
          <w:highlight w:val="white"/>
          <w:lang w:eastAsia="en-US"/>
        </w:rPr>
      </w:r>
      <w:r>
        <w:rPr>
          <w:sz w:val="28"/>
          <w:szCs w:val="28"/>
          <w:highlight w:val="white"/>
          <w:lang w:eastAsia="en-US"/>
        </w:rPr>
      </w:r>
    </w:p>
    <w:p>
      <w:pPr>
        <w:pStyle w:val="898"/>
        <w:numPr>
          <w:ilvl w:val="0"/>
          <w:numId w:val="16"/>
        </w:numPr>
        <w:ind w:left="0" w:firstLine="709"/>
        <w:jc w:val="both"/>
        <w:rPr>
          <w:sz w:val="28"/>
          <w:szCs w:val="28"/>
          <w:highlight w:val="white"/>
          <w:lang w:eastAsia="en-US"/>
        </w:rPr>
      </w:pPr>
      <w:r>
        <w:rPr>
          <w:sz w:val="28"/>
          <w:szCs w:val="28"/>
          <w:highlight w:val="white"/>
          <w:lang w:eastAsia="en-US"/>
        </w:rPr>
        <w:t xml:space="preserve">ООО «Альфа-</w:t>
      </w:r>
      <w:r>
        <w:rPr>
          <w:sz w:val="28"/>
          <w:szCs w:val="28"/>
          <w:highlight w:val="white"/>
          <w:lang w:eastAsia="en-US"/>
        </w:rPr>
        <w:t xml:space="preserve">Финанс</w:t>
      </w:r>
      <w:r>
        <w:rPr>
          <w:sz w:val="28"/>
          <w:szCs w:val="28"/>
          <w:highlight w:val="white"/>
          <w:lang w:eastAsia="en-US"/>
        </w:rPr>
        <w:t xml:space="preserve">» (</w:t>
      </w:r>
      <w:r>
        <w:rPr>
          <w:sz w:val="28"/>
          <w:szCs w:val="28"/>
          <w:highlight w:val="white"/>
          <w:lang w:eastAsia="en-US"/>
        </w:rPr>
        <w:t xml:space="preserve">Толмачевский</w:t>
      </w:r>
      <w:r>
        <w:rPr>
          <w:sz w:val="28"/>
          <w:szCs w:val="28"/>
          <w:highlight w:val="white"/>
          <w:lang w:eastAsia="en-US"/>
        </w:rPr>
        <w:t xml:space="preserve"> сельсовет, ПЛП) – строительство и эксплуатация Центра обработки данных «Сибирь» (1,9 млрд руб., 50 </w:t>
      </w:r>
      <w:r>
        <w:rPr>
          <w:sz w:val="28"/>
          <w:szCs w:val="28"/>
          <w:highlight w:val="white"/>
          <w:lang w:eastAsia="en-US"/>
        </w:rPr>
        <w:t xml:space="preserve">раб.мест</w:t>
      </w:r>
      <w:r>
        <w:rPr>
          <w:sz w:val="28"/>
          <w:szCs w:val="28"/>
          <w:highlight w:val="white"/>
          <w:lang w:eastAsia="en-US"/>
        </w:rPr>
        <w:t xml:space="preserve">).</w:t>
      </w:r>
      <w:r>
        <w:rPr>
          <w:sz w:val="28"/>
          <w:szCs w:val="28"/>
          <w:highlight w:val="white"/>
          <w:lang w:eastAsia="en-US"/>
        </w:rPr>
      </w:r>
      <w:r>
        <w:rPr>
          <w:sz w:val="28"/>
          <w:szCs w:val="28"/>
          <w:highlight w:val="white"/>
          <w:lang w:eastAsia="en-US"/>
        </w:rPr>
      </w:r>
    </w:p>
    <w:p>
      <w:pPr>
        <w:ind w:firstLine="709"/>
        <w:jc w:val="both"/>
        <w:rPr>
          <w:sz w:val="28"/>
          <w:szCs w:val="28"/>
          <w:highlight w:val="white"/>
          <w:lang w:eastAsia="en-US"/>
        </w:rPr>
      </w:pPr>
      <w:r>
        <w:rPr>
          <w:sz w:val="28"/>
          <w:szCs w:val="28"/>
          <w:highlight w:val="white"/>
          <w:lang w:eastAsia="en-US"/>
        </w:rPr>
        <w:t xml:space="preserve">Кроме того, в </w:t>
      </w:r>
      <w:r>
        <w:rPr>
          <w:sz w:val="28"/>
          <w:szCs w:val="28"/>
          <w:highlight w:val="white"/>
          <w:lang w:eastAsia="en-US"/>
        </w:rPr>
        <w:t xml:space="preserve">Толмачевском</w:t>
      </w:r>
      <w:r>
        <w:rPr>
          <w:sz w:val="28"/>
          <w:szCs w:val="28"/>
          <w:highlight w:val="white"/>
          <w:lang w:eastAsia="en-US"/>
        </w:rPr>
        <w:t xml:space="preserve"> сельсовете, на территории промышленно-логистического парка, планируется создание особой экономической зоны (ОЭЗ), Инвестор – ООО «Северный Парк Развитие», располагается на территориях </w:t>
      </w:r>
      <w:r>
        <w:rPr>
          <w:sz w:val="28"/>
          <w:szCs w:val="28"/>
          <w:highlight w:val="white"/>
          <w:lang w:eastAsia="en-US"/>
        </w:rPr>
        <w:t xml:space="preserve">Толмачевского</w:t>
      </w:r>
      <w:r>
        <w:rPr>
          <w:sz w:val="28"/>
          <w:szCs w:val="28"/>
          <w:highlight w:val="white"/>
          <w:lang w:eastAsia="en-US"/>
        </w:rPr>
        <w:t xml:space="preserve"> сельсовета Новосибирского района и </w:t>
      </w:r>
      <w:r>
        <w:rPr>
          <w:sz w:val="28"/>
          <w:szCs w:val="28"/>
          <w:highlight w:val="white"/>
          <w:lang w:eastAsia="en-US"/>
        </w:rPr>
        <w:t xml:space="preserve">Прокудского</w:t>
      </w:r>
      <w:r>
        <w:rPr>
          <w:sz w:val="28"/>
          <w:szCs w:val="28"/>
          <w:highlight w:val="white"/>
          <w:lang w:eastAsia="en-US"/>
        </w:rPr>
        <w:t xml:space="preserve"> сельсовета </w:t>
      </w:r>
      <w:r>
        <w:rPr>
          <w:sz w:val="28"/>
          <w:szCs w:val="28"/>
          <w:highlight w:val="white"/>
          <w:lang w:eastAsia="en-US"/>
        </w:rPr>
        <w:t xml:space="preserve">Коченевского</w:t>
      </w:r>
      <w:r>
        <w:rPr>
          <w:sz w:val="28"/>
          <w:szCs w:val="28"/>
          <w:highlight w:val="white"/>
          <w:lang w:eastAsia="en-US"/>
        </w:rPr>
        <w:t xml:space="preserve"> района.  </w:t>
      </w:r>
      <w:r>
        <w:rPr>
          <w:sz w:val="28"/>
          <w:szCs w:val="28"/>
          <w:highlight w:val="white"/>
          <w:lang w:eastAsia="en-US"/>
        </w:rPr>
      </w:r>
      <w:r>
        <w:rPr>
          <w:sz w:val="28"/>
          <w:szCs w:val="28"/>
          <w:highlight w:val="white"/>
          <w:lang w:eastAsia="en-US"/>
        </w:rPr>
      </w:r>
    </w:p>
    <w:p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  <w:highlight w:val="white"/>
          <w:lang w:eastAsia="en-US"/>
        </w:rPr>
        <w:t xml:space="preserve">На тер</w:t>
      </w:r>
      <w:r>
        <w:rPr>
          <w:sz w:val="28"/>
          <w:szCs w:val="28"/>
          <w:highlight w:val="white"/>
          <w:lang w:eastAsia="en-US"/>
        </w:rPr>
        <w:t xml:space="preserve">ритории Станционного сельсовета реализуется инвестиционный проект ПЛП «Восточный», направленный на создание материально-технической базы группы транспортных и экспедиторских компаний. На сегодняшний день на территории ПЛП «Восточный» работают 7 резидентов.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  <w:lang w:eastAsia="en-US"/>
        </w:rPr>
        <w:t xml:space="preserve">На территории Верх-</w:t>
      </w:r>
      <w:r>
        <w:rPr>
          <w:sz w:val="28"/>
          <w:szCs w:val="28"/>
          <w:highlight w:val="white"/>
          <w:lang w:eastAsia="en-US"/>
        </w:rPr>
        <w:t xml:space="preserve">Тулинского</w:t>
      </w:r>
      <w:r>
        <w:rPr>
          <w:sz w:val="28"/>
          <w:szCs w:val="28"/>
          <w:highlight w:val="white"/>
          <w:lang w:eastAsia="en-US"/>
        </w:rPr>
        <w:t xml:space="preserve"> сельсовета продолжается реализация промышленного парка «Лидер», где предоставлены земельные участки уже 12 резидентам-промышленникам. В 2023 году на площадке открыт дилерский центр спецтехники LOVOL.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  <w:lang w:eastAsia="en-US"/>
        </w:rPr>
        <w:t xml:space="preserve">Кроме того, на территории Новосибирского района активно развиваются другие парковые зоны. Так, в 2023 году в Станционном сельсовете ООО УК «А класс капитал» начаты ра</w:t>
      </w:r>
      <w:r>
        <w:rPr>
          <w:sz w:val="28"/>
          <w:szCs w:val="28"/>
          <w:highlight w:val="white"/>
          <w:lang w:eastAsia="en-US"/>
        </w:rPr>
        <w:t xml:space="preserve">боты по строительству индустриального парка «PNK Парк Пашино». Инвестиционным проектом предполагается создание и всей необходимой инфраструктуры для резидентов парка (арендаторов и покупателей промышленных объектов). Планируемые объёмы помещений – 408 000 </w:t>
      </w:r>
      <w:r>
        <w:rPr>
          <w:sz w:val="28"/>
          <w:szCs w:val="28"/>
          <w:highlight w:val="white"/>
          <w:lang w:eastAsia="en-US"/>
        </w:rPr>
        <w:t xml:space="preserve">кв.м</w:t>
      </w:r>
      <w:r>
        <w:rPr>
          <w:sz w:val="28"/>
          <w:szCs w:val="28"/>
          <w:highlight w:val="white"/>
          <w:lang w:eastAsia="en-US"/>
        </w:rPr>
        <w:t xml:space="preserve">., выход на проектную мощность – 2026-2027 годы. Сумма инвестиций, предусмотренная проектом, составляет 13 969 млн руб. Срок реализации проекта – 5 лет. В рамках проекта запланировано создание около 4 000 рабочих мест.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  <w:lang w:eastAsia="en-US"/>
        </w:rPr>
        <w:t xml:space="preserve">В отчетном году получено разрешение на строительство универсального склада продовольственных и непродовольственных товаров логистического центра ПФО «Западная Сибирь». Проектируемая площадь застройки участка – 275,4 </w:t>
      </w:r>
      <w:r>
        <w:rPr>
          <w:sz w:val="28"/>
          <w:szCs w:val="28"/>
          <w:highlight w:val="white"/>
          <w:lang w:eastAsia="en-US"/>
        </w:rPr>
        <w:t xml:space="preserve">кв.м</w:t>
      </w:r>
      <w:r>
        <w:rPr>
          <w:sz w:val="28"/>
          <w:szCs w:val="28"/>
          <w:highlight w:val="white"/>
          <w:lang w:eastAsia="en-US"/>
        </w:rPr>
        <w:t xml:space="preserve">. Сумма инвестиций, предусмотренная проектом, составляет 7 300 млн руб. Срок реализации проекта – 5 лет. В рамках проекта запланировано создание 2519 рабочих мест (у основных арендаторов </w:t>
      </w:r>
      <w:r>
        <w:rPr>
          <w:sz w:val="28"/>
          <w:szCs w:val="28"/>
          <w:highlight w:val="white"/>
          <w:lang w:eastAsia="en-US"/>
        </w:rPr>
        <w:t xml:space="preserve">Логопарка</w:t>
      </w:r>
      <w:r>
        <w:rPr>
          <w:sz w:val="28"/>
          <w:szCs w:val="28"/>
          <w:highlight w:val="white"/>
          <w:lang w:eastAsia="en-US"/>
        </w:rPr>
        <w:t xml:space="preserve">).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color w:val="000000" w:themeColor="text1"/>
          <w:sz w:val="28"/>
          <w:szCs w:val="28"/>
          <w:highlight w:val="white"/>
        </w:rPr>
      </w:pPr>
      <w:r>
        <w:rPr>
          <w:sz w:val="28"/>
          <w:szCs w:val="28"/>
          <w:highlight w:val="white"/>
          <w:lang w:eastAsia="en-US"/>
        </w:rPr>
        <w:t xml:space="preserve">В отчетном году продолжена работа Совета директоров и Аграрного Совета при Главе Новосибирского района. Все</w:t>
      </w:r>
      <w:r>
        <w:rPr>
          <w:sz w:val="28"/>
          <w:szCs w:val="28"/>
          <w:highlight w:val="white"/>
          <w:lang w:eastAsia="en-US"/>
        </w:rPr>
        <w:t xml:space="preserve">го за год заседаний Советов состоялось 7, на них рассматривались вопросы о перспективах развития и возможности взаимодействия между муниципалитетом и бизнесом, о трудоустройстве несовершеннолетних в летний период, о развитии предприятий района, об участии </w:t>
      </w:r>
      <w:r>
        <w:rPr>
          <w:sz w:val="28"/>
          <w:szCs w:val="28"/>
          <w:highlight w:val="white"/>
          <w:lang w:eastAsia="en-US"/>
        </w:rPr>
        <w:t xml:space="preserve">в спортивной жизни, о создании благоприятной конкурентной среды и о поддержки военных участвующих в СВО.</w:t>
      </w:r>
      <w:r>
        <w:rPr>
          <w:color w:val="000000" w:themeColor="text1"/>
          <w:sz w:val="28"/>
          <w:szCs w:val="28"/>
          <w:highlight w:val="white"/>
        </w:rPr>
      </w:r>
      <w:r>
        <w:rPr>
          <w:color w:val="000000" w:themeColor="text1"/>
          <w:sz w:val="28"/>
          <w:szCs w:val="28"/>
          <w:highlight w:val="white"/>
        </w:rPr>
      </w:r>
    </w:p>
    <w:p>
      <w:pPr>
        <w:ind w:firstLine="709"/>
        <w:jc w:val="both"/>
        <w:rPr>
          <w:color w:val="000000" w:themeColor="text1"/>
          <w:sz w:val="28"/>
          <w:szCs w:val="28"/>
          <w:highlight w:val="white"/>
          <w:lang w:eastAsia="en-US"/>
        </w:rPr>
      </w:pPr>
      <w:r>
        <w:rPr>
          <w:sz w:val="28"/>
          <w:szCs w:val="28"/>
          <w:highlight w:val="white"/>
          <w:lang w:eastAsia="en-US"/>
        </w:rPr>
        <w:t xml:space="preserve">Продолжено также взаимодейств</w:t>
      </w:r>
      <w:r>
        <w:rPr>
          <w:sz w:val="28"/>
          <w:szCs w:val="28"/>
          <w:highlight w:val="white"/>
          <w:lang w:eastAsia="en-US"/>
        </w:rPr>
        <w:t xml:space="preserve">ие с АО «Корпорация развития Новосибирской области» (ранее – АО «АИР») и АО «Управляющая компания «Промышленно-логистический парк» по дальнейшему развитию промышленно-логистических парков с целью привлечения инвестиций на территорию Новосибирского района. </w:t>
      </w:r>
      <w:r>
        <w:rPr>
          <w:color w:val="000000" w:themeColor="text1"/>
          <w:sz w:val="28"/>
          <w:szCs w:val="28"/>
          <w:highlight w:val="white"/>
          <w:lang w:eastAsia="en-US"/>
        </w:rPr>
      </w:r>
      <w:r>
        <w:rPr>
          <w:color w:val="000000" w:themeColor="text1"/>
          <w:sz w:val="28"/>
          <w:szCs w:val="28"/>
          <w:highlight w:val="white"/>
          <w:lang w:eastAsia="en-US"/>
        </w:rPr>
      </w:r>
    </w:p>
    <w:p>
      <w:pPr>
        <w:ind w:firstLine="709"/>
        <w:jc w:val="both"/>
        <w:rPr>
          <w:sz w:val="28"/>
          <w:szCs w:val="28"/>
          <w:highlight w:val="white"/>
          <w:lang w:eastAsia="en-US"/>
        </w:rPr>
      </w:pPr>
      <w:r>
        <w:rPr>
          <w:sz w:val="28"/>
          <w:szCs w:val="28"/>
          <w:highlight w:val="white"/>
          <w:lang w:eastAsia="en-US"/>
        </w:rPr>
        <w:t xml:space="preserve">На территории Новосибирского района продолжается реализация следующих крупнейших инвестиционных проектов:</w:t>
      </w:r>
      <w:r>
        <w:rPr>
          <w:sz w:val="28"/>
          <w:szCs w:val="28"/>
          <w:highlight w:val="white"/>
          <w:lang w:eastAsia="en-US"/>
        </w:rPr>
      </w:r>
      <w:r>
        <w:rPr>
          <w:sz w:val="28"/>
          <w:szCs w:val="28"/>
          <w:highlight w:val="white"/>
          <w:lang w:eastAsia="en-US"/>
        </w:rPr>
      </w:r>
    </w:p>
    <w:p>
      <w:pPr>
        <w:ind w:firstLine="709"/>
        <w:jc w:val="both"/>
        <w:rPr>
          <w:sz w:val="28"/>
          <w:szCs w:val="28"/>
          <w:highlight w:val="white"/>
          <w:lang w:eastAsia="en-US"/>
        </w:rPr>
      </w:pPr>
      <w:r>
        <w:rPr>
          <w:sz w:val="28"/>
          <w:szCs w:val="28"/>
          <w:highlight w:val="white"/>
          <w:lang w:eastAsia="en-US"/>
        </w:rPr>
        <w:t xml:space="preserve">ООО «НТТ» (</w:t>
      </w:r>
      <w:r>
        <w:rPr>
          <w:sz w:val="28"/>
          <w:szCs w:val="28"/>
          <w:highlight w:val="white"/>
          <w:lang w:eastAsia="en-US"/>
        </w:rPr>
        <w:t xml:space="preserve">Толмачевский</w:t>
      </w:r>
      <w:r>
        <w:rPr>
          <w:sz w:val="28"/>
          <w:szCs w:val="28"/>
          <w:highlight w:val="white"/>
          <w:lang w:eastAsia="en-US"/>
        </w:rPr>
        <w:t xml:space="preserve"> сельсовет, ПЛП) – строительство транспортно-логистического центра «Сибирский» (современный контейнерный терминал с развитой железнодорожной инфраструктурой) (14,6 млрд руб., 250 </w:t>
      </w:r>
      <w:r>
        <w:rPr>
          <w:sz w:val="28"/>
          <w:szCs w:val="28"/>
          <w:highlight w:val="white"/>
          <w:lang w:eastAsia="en-US"/>
        </w:rPr>
        <w:t xml:space="preserve">раб.мест</w:t>
      </w:r>
      <w:r>
        <w:rPr>
          <w:sz w:val="28"/>
          <w:szCs w:val="28"/>
          <w:highlight w:val="white"/>
          <w:lang w:eastAsia="en-US"/>
        </w:rPr>
        <w:t xml:space="preserve">); </w:t>
      </w:r>
      <w:r>
        <w:rPr>
          <w:sz w:val="28"/>
          <w:szCs w:val="28"/>
          <w:highlight w:val="white"/>
          <w:lang w:eastAsia="en-US"/>
        </w:rPr>
      </w:r>
      <w:r>
        <w:rPr>
          <w:sz w:val="28"/>
          <w:szCs w:val="28"/>
          <w:highlight w:val="white"/>
          <w:lang w:eastAsia="en-US"/>
        </w:rPr>
      </w:r>
    </w:p>
    <w:p>
      <w:pPr>
        <w:ind w:firstLine="709"/>
        <w:jc w:val="both"/>
        <w:rPr>
          <w:sz w:val="28"/>
          <w:szCs w:val="28"/>
          <w:highlight w:val="white"/>
          <w:lang w:eastAsia="en-US"/>
        </w:rPr>
      </w:pPr>
      <w:r>
        <w:rPr>
          <w:sz w:val="28"/>
          <w:szCs w:val="28"/>
          <w:highlight w:val="white"/>
          <w:lang w:eastAsia="en-US"/>
        </w:rPr>
        <w:t xml:space="preserve">ООО «Евразия Сибирь» (МАРЦ) (Верх-</w:t>
      </w:r>
      <w:r>
        <w:rPr>
          <w:sz w:val="28"/>
          <w:szCs w:val="28"/>
          <w:highlight w:val="white"/>
          <w:lang w:eastAsia="en-US"/>
        </w:rPr>
        <w:t xml:space="preserve">Тулинский</w:t>
      </w:r>
      <w:r>
        <w:rPr>
          <w:sz w:val="28"/>
          <w:szCs w:val="28"/>
          <w:highlight w:val="white"/>
          <w:lang w:eastAsia="en-US"/>
        </w:rPr>
        <w:t xml:space="preserve"> сельсовет) – строительство межрегионального агропромышленного распределительного центра плодоовощной продукции (8 млрд руб., 180 </w:t>
      </w:r>
      <w:r>
        <w:rPr>
          <w:sz w:val="28"/>
          <w:szCs w:val="28"/>
          <w:highlight w:val="white"/>
          <w:lang w:eastAsia="en-US"/>
        </w:rPr>
        <w:t xml:space="preserve">раб.мест</w:t>
      </w:r>
      <w:r>
        <w:rPr>
          <w:sz w:val="28"/>
          <w:szCs w:val="28"/>
          <w:highlight w:val="white"/>
          <w:lang w:eastAsia="en-US"/>
        </w:rPr>
        <w:t xml:space="preserve">); </w:t>
      </w:r>
      <w:r>
        <w:rPr>
          <w:sz w:val="28"/>
          <w:szCs w:val="28"/>
          <w:highlight w:val="white"/>
          <w:lang w:eastAsia="en-US"/>
        </w:rPr>
      </w:r>
      <w:r>
        <w:rPr>
          <w:sz w:val="28"/>
          <w:szCs w:val="28"/>
          <w:highlight w:val="white"/>
          <w:lang w:eastAsia="en-US"/>
        </w:rPr>
      </w:r>
    </w:p>
    <w:p>
      <w:pPr>
        <w:ind w:firstLine="709"/>
        <w:jc w:val="both"/>
        <w:rPr>
          <w:sz w:val="28"/>
          <w:szCs w:val="28"/>
          <w:highlight w:val="white"/>
          <w:lang w:eastAsia="en-US"/>
        </w:rPr>
      </w:pPr>
      <w:r>
        <w:rPr>
          <w:sz w:val="28"/>
          <w:szCs w:val="28"/>
          <w:highlight w:val="white"/>
          <w:lang w:eastAsia="en-US"/>
        </w:rPr>
        <w:t xml:space="preserve">ПАО «Мегафон» (</w:t>
      </w:r>
      <w:r>
        <w:rPr>
          <w:sz w:val="28"/>
          <w:szCs w:val="28"/>
          <w:highlight w:val="white"/>
          <w:lang w:eastAsia="en-US"/>
        </w:rPr>
        <w:t xml:space="preserve">Толмачевский</w:t>
      </w:r>
      <w:r>
        <w:rPr>
          <w:sz w:val="28"/>
          <w:szCs w:val="28"/>
          <w:highlight w:val="white"/>
          <w:lang w:eastAsia="en-US"/>
        </w:rPr>
        <w:t xml:space="preserve"> сельсовет, ПЛП) – строительство центра обработки данных (2,1 млрд руб., 10 </w:t>
      </w:r>
      <w:r>
        <w:rPr>
          <w:sz w:val="28"/>
          <w:szCs w:val="28"/>
          <w:highlight w:val="white"/>
          <w:lang w:eastAsia="en-US"/>
        </w:rPr>
        <w:t xml:space="preserve">раб.мест</w:t>
      </w:r>
      <w:r>
        <w:rPr>
          <w:sz w:val="28"/>
          <w:szCs w:val="28"/>
          <w:highlight w:val="white"/>
          <w:lang w:eastAsia="en-US"/>
        </w:rPr>
        <w:t xml:space="preserve">);</w:t>
      </w:r>
      <w:r>
        <w:rPr>
          <w:sz w:val="28"/>
          <w:szCs w:val="28"/>
          <w:highlight w:val="white"/>
          <w:lang w:eastAsia="en-US"/>
        </w:rPr>
      </w:r>
      <w:r>
        <w:rPr>
          <w:sz w:val="28"/>
          <w:szCs w:val="28"/>
          <w:highlight w:val="white"/>
          <w:lang w:eastAsia="en-US"/>
        </w:rPr>
      </w:r>
    </w:p>
    <w:p>
      <w:pPr>
        <w:ind w:firstLine="709"/>
        <w:jc w:val="both"/>
        <w:rPr>
          <w:sz w:val="28"/>
          <w:szCs w:val="28"/>
          <w:highlight w:val="white"/>
          <w:lang w:eastAsia="en-US"/>
        </w:rPr>
      </w:pPr>
      <w:r>
        <w:rPr>
          <w:sz w:val="28"/>
          <w:szCs w:val="28"/>
          <w:highlight w:val="white"/>
          <w:lang w:eastAsia="en-US"/>
        </w:rPr>
        <w:t xml:space="preserve"> АО «Новосибирский КБК» (</w:t>
      </w:r>
      <w:r>
        <w:rPr>
          <w:sz w:val="28"/>
          <w:szCs w:val="28"/>
          <w:highlight w:val="white"/>
          <w:lang w:eastAsia="en-US"/>
        </w:rPr>
        <w:t xml:space="preserve">Кубовинский</w:t>
      </w:r>
      <w:r>
        <w:rPr>
          <w:sz w:val="28"/>
          <w:szCs w:val="28"/>
          <w:highlight w:val="white"/>
          <w:lang w:eastAsia="en-US"/>
        </w:rPr>
        <w:t xml:space="preserve"> сельсовет) – организация производства упаковки для яиц из </w:t>
      </w:r>
      <w:r>
        <w:rPr>
          <w:sz w:val="28"/>
          <w:szCs w:val="28"/>
          <w:highlight w:val="white"/>
          <w:lang w:eastAsia="en-US"/>
        </w:rPr>
        <w:t xml:space="preserve">пульперкартона</w:t>
      </w:r>
      <w:r>
        <w:rPr>
          <w:sz w:val="28"/>
          <w:szCs w:val="28"/>
          <w:highlight w:val="white"/>
          <w:lang w:eastAsia="en-US"/>
        </w:rPr>
        <w:t xml:space="preserve"> (2 млрд руб., 250 </w:t>
      </w:r>
      <w:r>
        <w:rPr>
          <w:sz w:val="28"/>
          <w:szCs w:val="28"/>
          <w:highlight w:val="white"/>
          <w:lang w:eastAsia="en-US"/>
        </w:rPr>
        <w:t xml:space="preserve">раб.мест</w:t>
      </w:r>
      <w:r>
        <w:rPr>
          <w:sz w:val="28"/>
          <w:szCs w:val="28"/>
          <w:highlight w:val="white"/>
          <w:lang w:eastAsia="en-US"/>
        </w:rPr>
        <w:t xml:space="preserve">);</w:t>
      </w:r>
      <w:r>
        <w:rPr>
          <w:sz w:val="28"/>
          <w:szCs w:val="28"/>
          <w:highlight w:val="white"/>
          <w:lang w:eastAsia="en-US"/>
        </w:rPr>
      </w:r>
      <w:r>
        <w:rPr>
          <w:sz w:val="28"/>
          <w:szCs w:val="28"/>
          <w:highlight w:val="white"/>
          <w:lang w:eastAsia="en-US"/>
        </w:rPr>
      </w:r>
    </w:p>
    <w:p>
      <w:pPr>
        <w:ind w:firstLine="709"/>
        <w:jc w:val="both"/>
        <w:rPr>
          <w:sz w:val="28"/>
          <w:szCs w:val="28"/>
          <w:highlight w:val="white"/>
          <w:lang w:eastAsia="en-US"/>
        </w:rPr>
      </w:pPr>
      <w:r>
        <w:rPr>
          <w:sz w:val="28"/>
          <w:szCs w:val="28"/>
          <w:highlight w:val="white"/>
          <w:lang w:eastAsia="en-US"/>
        </w:rPr>
        <w:t xml:space="preserve">ООО «</w:t>
      </w:r>
      <w:r>
        <w:rPr>
          <w:sz w:val="28"/>
          <w:szCs w:val="28"/>
          <w:highlight w:val="white"/>
          <w:lang w:eastAsia="en-US"/>
        </w:rPr>
        <w:t xml:space="preserve">Алютех</w:t>
      </w:r>
      <w:r>
        <w:rPr>
          <w:sz w:val="28"/>
          <w:szCs w:val="28"/>
          <w:highlight w:val="white"/>
          <w:lang w:eastAsia="en-US"/>
        </w:rPr>
        <w:t xml:space="preserve">-Новосибирск» (</w:t>
      </w:r>
      <w:r>
        <w:rPr>
          <w:sz w:val="28"/>
          <w:szCs w:val="28"/>
          <w:highlight w:val="white"/>
          <w:lang w:eastAsia="en-US"/>
        </w:rPr>
        <w:t xml:space="preserve">Толмачевский</w:t>
      </w:r>
      <w:r>
        <w:rPr>
          <w:sz w:val="28"/>
          <w:szCs w:val="28"/>
          <w:highlight w:val="white"/>
          <w:lang w:eastAsia="en-US"/>
        </w:rPr>
        <w:t xml:space="preserve"> сельсовет, ПЛП) – строительство производственно-логистического комплекса, специализирующегося на изготовлении секционных ворот (1,7 млрд руб., 430 </w:t>
      </w:r>
      <w:r>
        <w:rPr>
          <w:sz w:val="28"/>
          <w:szCs w:val="28"/>
          <w:highlight w:val="white"/>
          <w:lang w:eastAsia="en-US"/>
        </w:rPr>
        <w:t xml:space="preserve">раб.мест</w:t>
      </w:r>
      <w:r>
        <w:rPr>
          <w:sz w:val="28"/>
          <w:szCs w:val="28"/>
          <w:highlight w:val="white"/>
          <w:lang w:eastAsia="en-US"/>
        </w:rPr>
        <w:t xml:space="preserve">);</w:t>
      </w:r>
      <w:r>
        <w:rPr>
          <w:sz w:val="28"/>
          <w:szCs w:val="28"/>
          <w:highlight w:val="white"/>
          <w:lang w:eastAsia="en-US"/>
        </w:rPr>
      </w:r>
      <w:r>
        <w:rPr>
          <w:sz w:val="28"/>
          <w:szCs w:val="28"/>
          <w:highlight w:val="white"/>
          <w:lang w:eastAsia="en-US"/>
        </w:rPr>
      </w:r>
    </w:p>
    <w:p>
      <w:pPr>
        <w:ind w:firstLine="709"/>
        <w:jc w:val="both"/>
        <w:rPr>
          <w:sz w:val="28"/>
          <w:szCs w:val="28"/>
          <w:highlight w:val="white"/>
          <w:lang w:eastAsia="en-US"/>
        </w:rPr>
      </w:pPr>
      <w:r>
        <w:rPr>
          <w:sz w:val="28"/>
          <w:szCs w:val="28"/>
          <w:highlight w:val="white"/>
          <w:lang w:eastAsia="en-US"/>
        </w:rPr>
        <w:t xml:space="preserve">ООО «Кей Поинт» (</w:t>
      </w:r>
      <w:r>
        <w:rPr>
          <w:sz w:val="28"/>
          <w:szCs w:val="28"/>
          <w:highlight w:val="white"/>
          <w:lang w:eastAsia="en-US"/>
        </w:rPr>
        <w:t xml:space="preserve">Толмачевский</w:t>
      </w:r>
      <w:r>
        <w:rPr>
          <w:sz w:val="28"/>
          <w:szCs w:val="28"/>
          <w:highlight w:val="white"/>
          <w:lang w:eastAsia="en-US"/>
        </w:rPr>
        <w:t xml:space="preserve"> сельсовет, ПЛП) - центр обработки данных в г. Новосибирске (1,6 млрд руб., 20 </w:t>
      </w:r>
      <w:r>
        <w:rPr>
          <w:sz w:val="28"/>
          <w:szCs w:val="28"/>
          <w:highlight w:val="white"/>
          <w:lang w:eastAsia="en-US"/>
        </w:rPr>
        <w:t xml:space="preserve">раб.мест</w:t>
      </w:r>
      <w:r>
        <w:rPr>
          <w:sz w:val="28"/>
          <w:szCs w:val="28"/>
          <w:highlight w:val="white"/>
          <w:lang w:eastAsia="en-US"/>
        </w:rPr>
        <w:t xml:space="preserve">);</w:t>
      </w:r>
      <w:r>
        <w:rPr>
          <w:sz w:val="28"/>
          <w:szCs w:val="28"/>
          <w:highlight w:val="white"/>
          <w:lang w:eastAsia="en-US"/>
        </w:rPr>
      </w:r>
      <w:r>
        <w:rPr>
          <w:sz w:val="28"/>
          <w:szCs w:val="28"/>
          <w:highlight w:val="white"/>
          <w:lang w:eastAsia="en-US"/>
        </w:rPr>
      </w:r>
    </w:p>
    <w:p>
      <w:pPr>
        <w:ind w:firstLine="709"/>
        <w:jc w:val="both"/>
        <w:rPr>
          <w:sz w:val="28"/>
          <w:szCs w:val="28"/>
          <w:highlight w:val="white"/>
          <w:lang w:eastAsia="en-US"/>
        </w:rPr>
      </w:pPr>
      <w:r>
        <w:rPr>
          <w:sz w:val="28"/>
          <w:szCs w:val="28"/>
          <w:highlight w:val="white"/>
          <w:lang w:eastAsia="en-US"/>
        </w:rPr>
        <w:t xml:space="preserve">ООО «</w:t>
      </w:r>
      <w:r>
        <w:rPr>
          <w:sz w:val="28"/>
          <w:szCs w:val="28"/>
          <w:highlight w:val="white"/>
          <w:lang w:eastAsia="en-US"/>
        </w:rPr>
        <w:t xml:space="preserve">Экоцифра</w:t>
      </w:r>
      <w:r>
        <w:rPr>
          <w:sz w:val="28"/>
          <w:szCs w:val="28"/>
          <w:highlight w:val="white"/>
          <w:lang w:eastAsia="en-US"/>
        </w:rPr>
        <w:t xml:space="preserve">» (ППК РЭО) (Верх-</w:t>
      </w:r>
      <w:r>
        <w:rPr>
          <w:sz w:val="28"/>
          <w:szCs w:val="28"/>
          <w:highlight w:val="white"/>
          <w:lang w:eastAsia="en-US"/>
        </w:rPr>
        <w:t xml:space="preserve">Тулинский</w:t>
      </w:r>
      <w:r>
        <w:rPr>
          <w:sz w:val="28"/>
          <w:szCs w:val="28"/>
          <w:highlight w:val="white"/>
          <w:lang w:eastAsia="en-US"/>
        </w:rPr>
        <w:t xml:space="preserve"> сельсовет) - создание инфраструктуры </w:t>
      </w:r>
      <w:r>
        <w:rPr>
          <w:sz w:val="28"/>
          <w:szCs w:val="28"/>
          <w:highlight w:val="white"/>
          <w:lang w:eastAsia="en-US"/>
        </w:rPr>
        <w:t xml:space="preserve">экопромышленного</w:t>
      </w:r>
      <w:r>
        <w:rPr>
          <w:sz w:val="28"/>
          <w:szCs w:val="28"/>
          <w:highlight w:val="white"/>
          <w:lang w:eastAsia="en-US"/>
        </w:rPr>
        <w:t xml:space="preserve"> парка для обращения со вторичными ресурсами и вторичным сырьем на территории Новосибирской области» (1 млрд руб.);</w:t>
      </w:r>
      <w:r>
        <w:rPr>
          <w:sz w:val="28"/>
          <w:szCs w:val="28"/>
          <w:highlight w:val="white"/>
          <w:lang w:eastAsia="en-US"/>
        </w:rPr>
      </w:r>
      <w:r>
        <w:rPr>
          <w:sz w:val="28"/>
          <w:szCs w:val="28"/>
          <w:highlight w:val="white"/>
          <w:lang w:eastAsia="en-US"/>
        </w:rPr>
      </w:r>
    </w:p>
    <w:p>
      <w:pPr>
        <w:ind w:firstLine="709"/>
        <w:jc w:val="both"/>
        <w:rPr>
          <w:sz w:val="28"/>
          <w:szCs w:val="28"/>
          <w:highlight w:val="white"/>
          <w:lang w:eastAsia="en-US"/>
        </w:rPr>
      </w:pPr>
      <w:r>
        <w:rPr>
          <w:sz w:val="28"/>
          <w:szCs w:val="28"/>
          <w:highlight w:val="white"/>
          <w:lang w:eastAsia="en-US"/>
        </w:rPr>
        <w:t xml:space="preserve">ООО «</w:t>
      </w:r>
      <w:r>
        <w:rPr>
          <w:sz w:val="28"/>
          <w:szCs w:val="28"/>
          <w:highlight w:val="white"/>
          <w:lang w:eastAsia="en-US"/>
        </w:rPr>
        <w:t xml:space="preserve">ДорХан</w:t>
      </w:r>
      <w:r>
        <w:rPr>
          <w:sz w:val="28"/>
          <w:szCs w:val="28"/>
          <w:highlight w:val="white"/>
          <w:lang w:eastAsia="en-US"/>
        </w:rPr>
        <w:t xml:space="preserve">–Новосибирск» (</w:t>
      </w:r>
      <w:r>
        <w:rPr>
          <w:sz w:val="28"/>
          <w:szCs w:val="28"/>
          <w:highlight w:val="white"/>
          <w:lang w:eastAsia="en-US"/>
        </w:rPr>
        <w:t xml:space="preserve">Криводановский</w:t>
      </w:r>
      <w:r>
        <w:rPr>
          <w:sz w:val="28"/>
          <w:szCs w:val="28"/>
          <w:highlight w:val="white"/>
          <w:lang w:eastAsia="en-US"/>
        </w:rPr>
        <w:t xml:space="preserve"> сельсовет) – строительство завода по горячему </w:t>
      </w:r>
      <w:r>
        <w:rPr>
          <w:sz w:val="28"/>
          <w:szCs w:val="28"/>
          <w:highlight w:val="white"/>
          <w:lang w:eastAsia="en-US"/>
        </w:rPr>
        <w:t xml:space="preserve">цинкованию</w:t>
      </w:r>
      <w:r>
        <w:rPr>
          <w:sz w:val="28"/>
          <w:szCs w:val="28"/>
          <w:highlight w:val="white"/>
          <w:lang w:eastAsia="en-US"/>
        </w:rPr>
        <w:t xml:space="preserve"> </w:t>
      </w:r>
      <w:r>
        <w:rPr>
          <w:sz w:val="28"/>
          <w:szCs w:val="28"/>
          <w:highlight w:val="white"/>
          <w:lang w:eastAsia="en-US"/>
        </w:rPr>
        <w:t xml:space="preserve">( 850</w:t>
      </w:r>
      <w:r>
        <w:rPr>
          <w:sz w:val="28"/>
          <w:szCs w:val="28"/>
          <w:highlight w:val="white"/>
          <w:lang w:eastAsia="en-US"/>
        </w:rPr>
        <w:t xml:space="preserve"> млн руб., 150 </w:t>
      </w:r>
      <w:r>
        <w:rPr>
          <w:sz w:val="28"/>
          <w:szCs w:val="28"/>
          <w:highlight w:val="white"/>
          <w:lang w:eastAsia="en-US"/>
        </w:rPr>
        <w:t xml:space="preserve">раб.мест</w:t>
      </w:r>
      <w:r>
        <w:rPr>
          <w:sz w:val="28"/>
          <w:szCs w:val="28"/>
          <w:highlight w:val="white"/>
          <w:lang w:eastAsia="en-US"/>
        </w:rPr>
        <w:t xml:space="preserve">);</w:t>
      </w:r>
      <w:r>
        <w:rPr>
          <w:sz w:val="28"/>
          <w:szCs w:val="28"/>
          <w:highlight w:val="white"/>
          <w:lang w:eastAsia="en-US"/>
        </w:rPr>
      </w:r>
      <w:r>
        <w:rPr>
          <w:sz w:val="28"/>
          <w:szCs w:val="28"/>
          <w:highlight w:val="white"/>
          <w:lang w:eastAsia="en-US"/>
        </w:rPr>
      </w:r>
    </w:p>
    <w:p>
      <w:pPr>
        <w:ind w:firstLine="709"/>
        <w:jc w:val="both"/>
        <w:rPr>
          <w:sz w:val="28"/>
          <w:szCs w:val="28"/>
          <w:highlight w:val="white"/>
          <w:lang w:eastAsia="en-US"/>
        </w:rPr>
      </w:pPr>
      <w:r>
        <w:rPr>
          <w:sz w:val="28"/>
          <w:szCs w:val="28"/>
          <w:highlight w:val="white"/>
          <w:lang w:eastAsia="en-US"/>
        </w:rPr>
        <w:t xml:space="preserve">ООО «ИЭК НСК» (</w:t>
      </w:r>
      <w:r>
        <w:rPr>
          <w:sz w:val="28"/>
          <w:szCs w:val="28"/>
          <w:highlight w:val="white"/>
          <w:lang w:eastAsia="en-US"/>
        </w:rPr>
        <w:t xml:space="preserve">Толмачевский</w:t>
      </w:r>
      <w:r>
        <w:rPr>
          <w:sz w:val="28"/>
          <w:szCs w:val="28"/>
          <w:highlight w:val="white"/>
          <w:lang w:eastAsia="en-US"/>
        </w:rPr>
        <w:t xml:space="preserve"> сельсовет, ПЛП) – строительство производственно-логистического комплекса (600 млн руб., 200 </w:t>
      </w:r>
      <w:r>
        <w:rPr>
          <w:sz w:val="28"/>
          <w:szCs w:val="28"/>
          <w:highlight w:val="white"/>
          <w:lang w:eastAsia="en-US"/>
        </w:rPr>
        <w:t xml:space="preserve">раб.мест</w:t>
      </w:r>
      <w:r>
        <w:rPr>
          <w:sz w:val="28"/>
          <w:szCs w:val="28"/>
          <w:highlight w:val="white"/>
          <w:lang w:eastAsia="en-US"/>
        </w:rPr>
        <w:t xml:space="preserve">);</w:t>
      </w:r>
      <w:r>
        <w:rPr>
          <w:sz w:val="28"/>
          <w:szCs w:val="28"/>
          <w:highlight w:val="white"/>
          <w:lang w:eastAsia="en-US"/>
        </w:rPr>
      </w:r>
      <w:r>
        <w:rPr>
          <w:sz w:val="28"/>
          <w:szCs w:val="28"/>
          <w:highlight w:val="white"/>
          <w:lang w:eastAsia="en-US"/>
        </w:rPr>
      </w:r>
    </w:p>
    <w:p>
      <w:pPr>
        <w:ind w:firstLine="709"/>
        <w:jc w:val="both"/>
        <w:rPr>
          <w:sz w:val="28"/>
          <w:szCs w:val="28"/>
          <w:highlight w:val="white"/>
          <w:lang w:eastAsia="en-US"/>
        </w:rPr>
      </w:pPr>
      <w:r>
        <w:rPr>
          <w:sz w:val="28"/>
          <w:szCs w:val="28"/>
          <w:highlight w:val="white"/>
          <w:lang w:eastAsia="en-US"/>
        </w:rPr>
        <w:t xml:space="preserve">ООО «Мултон </w:t>
      </w:r>
      <w:r>
        <w:rPr>
          <w:sz w:val="28"/>
          <w:szCs w:val="28"/>
          <w:highlight w:val="white"/>
          <w:lang w:eastAsia="en-US"/>
        </w:rPr>
        <w:t xml:space="preserve">Партнерс</w:t>
      </w:r>
      <w:r>
        <w:rPr>
          <w:sz w:val="28"/>
          <w:szCs w:val="28"/>
          <w:highlight w:val="white"/>
          <w:lang w:eastAsia="en-US"/>
        </w:rPr>
        <w:t xml:space="preserve">» (Мичуринский сельсовет) – реконструкция завода (260 млн </w:t>
      </w:r>
      <w:r>
        <w:rPr>
          <w:sz w:val="28"/>
          <w:szCs w:val="28"/>
          <w:highlight w:val="white"/>
          <w:lang w:eastAsia="en-US"/>
        </w:rPr>
        <w:t xml:space="preserve">руб</w:t>
      </w:r>
      <w:r>
        <w:rPr>
          <w:sz w:val="28"/>
          <w:szCs w:val="28"/>
          <w:highlight w:val="white"/>
          <w:lang w:eastAsia="en-US"/>
        </w:rPr>
        <w:t xml:space="preserve">, улучшение условий труда и увеличение объема производства).</w:t>
      </w:r>
      <w:r>
        <w:rPr>
          <w:sz w:val="28"/>
          <w:szCs w:val="28"/>
          <w:highlight w:val="white"/>
          <w:lang w:eastAsia="en-US"/>
        </w:rPr>
      </w:r>
      <w:r>
        <w:rPr>
          <w:sz w:val="28"/>
          <w:szCs w:val="28"/>
          <w:highlight w:val="white"/>
          <w:lang w:eastAsia="en-US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  <w:lang w:eastAsia="en-US"/>
        </w:rPr>
        <w:t xml:space="preserve">Кроме перечисленных проектов, на территорию района заходят с масштабными инвестиционными проектами еще два инве</w:t>
      </w:r>
      <w:r>
        <w:rPr>
          <w:sz w:val="28"/>
          <w:szCs w:val="28"/>
          <w:highlight w:val="white"/>
          <w:lang w:eastAsia="en-US"/>
        </w:rPr>
        <w:t xml:space="preserve">стора</w:t>
      </w:r>
      <w:r>
        <w:rPr>
          <w:sz w:val="28"/>
          <w:szCs w:val="28"/>
          <w:highlight w:val="white"/>
          <w:lang w:eastAsia="en-US"/>
        </w:rPr>
        <w:t xml:space="preserve">,</w:t>
      </w:r>
      <w:r>
        <w:rPr>
          <w:sz w:val="28"/>
          <w:szCs w:val="28"/>
          <w:highlight w:val="white"/>
          <w:lang w:eastAsia="en-US"/>
        </w:rPr>
        <w:t xml:space="preserve"> соответственно: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  <w:lang w:eastAsia="en-US"/>
        </w:rPr>
        <w:t xml:space="preserve">ООО «Тренд» – инвестиционный проект «Новосибирский автозавод грузового транспорта». Общая сумма инвестиций по проекту – 19,9 млрд руб., планируемое количество создаваемых рабочих мест – 1970;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  <w:lang w:eastAsia="en-US"/>
        </w:rPr>
        <w:t xml:space="preserve">ООО «</w:t>
      </w:r>
      <w:r>
        <w:rPr>
          <w:sz w:val="28"/>
          <w:szCs w:val="28"/>
          <w:highlight w:val="white"/>
          <w:lang w:eastAsia="en-US"/>
        </w:rPr>
        <w:t xml:space="preserve">СтройТехнологияКонстант</w:t>
      </w:r>
      <w:r>
        <w:rPr>
          <w:sz w:val="28"/>
          <w:szCs w:val="28"/>
          <w:highlight w:val="white"/>
          <w:lang w:eastAsia="en-US"/>
        </w:rPr>
        <w:t xml:space="preserve">» </w:t>
      </w:r>
      <w:r>
        <w:rPr>
          <w:sz w:val="28"/>
          <w:szCs w:val="28"/>
          <w:highlight w:val="white"/>
          <w:lang w:eastAsia="en-US"/>
        </w:rPr>
        <w:t xml:space="preserve">– </w:t>
      </w:r>
      <w:r>
        <w:rPr>
          <w:bCs/>
          <w:sz w:val="28"/>
          <w:szCs w:val="28"/>
          <w:highlight w:val="white"/>
        </w:rPr>
        <w:t xml:space="preserve"> инвестиционный</w:t>
      </w:r>
      <w:r>
        <w:rPr>
          <w:bCs/>
          <w:sz w:val="28"/>
          <w:szCs w:val="28"/>
          <w:highlight w:val="white"/>
        </w:rPr>
        <w:t xml:space="preserve"> проект </w:t>
      </w:r>
      <w:r>
        <w:rPr>
          <w:sz w:val="28"/>
          <w:szCs w:val="28"/>
          <w:highlight w:val="white"/>
        </w:rPr>
        <w:t xml:space="preserve">«Сибирский завод горячего </w:t>
      </w:r>
      <w:r>
        <w:rPr>
          <w:sz w:val="28"/>
          <w:szCs w:val="28"/>
          <w:highlight w:val="white"/>
        </w:rPr>
        <w:t xml:space="preserve">цинкования</w:t>
      </w:r>
      <w:r>
        <w:rPr>
          <w:sz w:val="28"/>
          <w:szCs w:val="28"/>
          <w:highlight w:val="white"/>
        </w:rPr>
        <w:t xml:space="preserve"> и металлоконструкций»</w:t>
      </w:r>
      <w:r>
        <w:rPr>
          <w:sz w:val="28"/>
          <w:szCs w:val="28"/>
          <w:highlight w:val="white"/>
          <w:lang w:eastAsia="en-US"/>
        </w:rPr>
        <w:t xml:space="preserve">. Общая сумма инвестиций – 700 млн руб., планируемое количество создаваемых рабочих мест – 120.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  <w:lang w:eastAsia="en-US"/>
        </w:rPr>
        <w:t xml:space="preserve">Благодаря реализации данных проектов </w:t>
      </w:r>
      <w:r>
        <w:rPr>
          <w:sz w:val="28"/>
          <w:szCs w:val="28"/>
          <w:highlight w:val="white"/>
          <w:lang w:eastAsia="en-US"/>
        </w:rPr>
        <w:t xml:space="preserve">получат развитие Станционный  и Криводановский сельсоветы.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  <w:lang w:eastAsia="en-US"/>
        </w:rPr>
      </w:pPr>
      <w:r>
        <w:rPr>
          <w:sz w:val="28"/>
          <w:szCs w:val="28"/>
          <w:highlight w:val="white"/>
          <w:lang w:eastAsia="en-US"/>
        </w:rPr>
        <w:t xml:space="preserve">Общий инвестиционный портф</w:t>
      </w:r>
      <w:r>
        <w:rPr>
          <w:sz w:val="28"/>
          <w:szCs w:val="28"/>
          <w:highlight w:val="white"/>
          <w:lang w:eastAsia="en-US"/>
        </w:rPr>
        <w:t xml:space="preserve">ель Новосибирского района насчитывает более 220 реализуемых инвестиционных проектов с общем объемом инвестиций порядка 200 млрд руб.</w:t>
      </w:r>
      <w:r>
        <w:rPr>
          <w:sz w:val="28"/>
          <w:szCs w:val="28"/>
          <w:highlight w:val="white"/>
          <w:lang w:eastAsia="en-US"/>
        </w:rPr>
      </w:r>
      <w:r>
        <w:rPr>
          <w:sz w:val="28"/>
          <w:szCs w:val="28"/>
          <w:highlight w:val="white"/>
          <w:lang w:eastAsia="en-US"/>
        </w:rPr>
      </w:r>
    </w:p>
    <w:p>
      <w:pPr>
        <w:ind w:firstLine="709"/>
        <w:jc w:val="both"/>
        <w:rPr>
          <w:sz w:val="28"/>
          <w:szCs w:val="28"/>
          <w:highlight w:val="white"/>
          <w:lang w:eastAsia="en-US"/>
        </w:rPr>
      </w:pPr>
      <w:r>
        <w:rPr>
          <w:sz w:val="28"/>
          <w:szCs w:val="28"/>
          <w:highlight w:val="white"/>
          <w:lang w:eastAsia="en-US"/>
        </w:rPr>
        <w:t xml:space="preserve">Несмотря на все сложности с логистикой из-за санкций, предприятиям района удается расширить рынки сбыта продукции. Трудности возникают с резко возросшей нагрузкой на транспортную инфраструктуру из-за переориентации торговых потоков.</w:t>
      </w:r>
      <w:r>
        <w:rPr>
          <w:sz w:val="28"/>
          <w:szCs w:val="28"/>
          <w:highlight w:val="white"/>
          <w:lang w:eastAsia="en-US"/>
        </w:rPr>
      </w:r>
      <w:r>
        <w:rPr>
          <w:sz w:val="28"/>
          <w:szCs w:val="28"/>
          <w:highlight w:val="white"/>
          <w:lang w:eastAsia="en-US"/>
        </w:rPr>
      </w:r>
    </w:p>
    <w:p>
      <w:pPr>
        <w:ind w:firstLine="709"/>
        <w:jc w:val="both"/>
        <w:rPr>
          <w:sz w:val="28"/>
          <w:szCs w:val="28"/>
          <w:highlight w:val="white"/>
          <w:lang w:eastAsia="en-US"/>
        </w:rPr>
      </w:pPr>
      <w:r>
        <w:rPr>
          <w:sz w:val="28"/>
          <w:szCs w:val="28"/>
          <w:highlight w:val="white"/>
          <w:lang w:eastAsia="en-US"/>
        </w:rPr>
        <w:t xml:space="preserve">Для преодоления нагрузки организована совместная работа по координации транспортных потоков между органами государст</w:t>
      </w:r>
      <w:r>
        <w:rPr>
          <w:sz w:val="28"/>
          <w:szCs w:val="28"/>
          <w:highlight w:val="white"/>
          <w:lang w:eastAsia="en-US"/>
        </w:rPr>
        <w:t xml:space="preserve">венной и муниципальной власти с основными логистическими операторами. Также, для решения данного вопроса, на территории района частными инвесторами создаются транспортно-логистические терминалы, позволяющие задействовать различные способы перевозки грузов.</w:t>
      </w:r>
      <w:r>
        <w:rPr>
          <w:sz w:val="28"/>
          <w:szCs w:val="28"/>
          <w:highlight w:val="white"/>
          <w:lang w:eastAsia="en-US"/>
        </w:rPr>
      </w:r>
      <w:r>
        <w:rPr>
          <w:sz w:val="28"/>
          <w:szCs w:val="28"/>
          <w:highlight w:val="white"/>
          <w:lang w:eastAsia="en-US"/>
        </w:rPr>
      </w:r>
    </w:p>
    <w:p>
      <w:pPr>
        <w:ind w:firstLine="851"/>
        <w:jc w:val="both"/>
        <w:tabs>
          <w:tab w:val="left" w:pos="0" w:leader="none"/>
        </w:tabs>
        <w:rPr>
          <w:sz w:val="28"/>
          <w:highlight w:val="white"/>
        </w:rPr>
      </w:pPr>
      <w:r>
        <w:rPr>
          <w:sz w:val="28"/>
          <w:highlight w:val="white"/>
        </w:rPr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pStyle w:val="898"/>
        <w:numPr>
          <w:ilvl w:val="1"/>
          <w:numId w:val="2"/>
        </w:numPr>
        <w:ind w:left="1276" w:hanging="567"/>
        <w:tabs>
          <w:tab w:val="left" w:pos="709" w:leader="none"/>
          <w:tab w:val="left" w:pos="10206" w:leader="none"/>
        </w:tabs>
        <w:rPr>
          <w:b/>
          <w:i/>
        </w:rPr>
      </w:pPr>
      <w:r>
        <w:rPr>
          <w:b/>
          <w:i/>
        </w:rPr>
        <w:t xml:space="preserve">Малое и среднее предпринимательство</w:t>
      </w:r>
      <w:r>
        <w:rPr>
          <w:b/>
          <w:i/>
        </w:rPr>
      </w:r>
      <w:r>
        <w:rPr>
          <w:b/>
          <w:i/>
        </w:rPr>
      </w:r>
    </w:p>
    <w:p>
      <w:pPr>
        <w:ind w:left="420"/>
        <w:tabs>
          <w:tab w:val="left" w:pos="709" w:leader="none"/>
          <w:tab w:val="left" w:pos="10206" w:leader="none"/>
        </w:tabs>
        <w:rPr>
          <w:b/>
          <w:bCs/>
          <w:i/>
        </w:rPr>
      </w:pPr>
      <w:r>
        <w:rPr>
          <w:b/>
          <w:bCs/>
          <w:i/>
        </w:rPr>
      </w:r>
      <w:r>
        <w:rPr>
          <w:b/>
          <w:bCs/>
          <w:i/>
        </w:rPr>
      </w:r>
      <w:r>
        <w:rPr>
          <w:b/>
          <w:bCs/>
          <w:i/>
        </w:rPr>
      </w:r>
    </w:p>
    <w:p>
      <w:pPr>
        <w:ind w:firstLine="709"/>
        <w:jc w:val="both"/>
        <w:rPr>
          <w:sz w:val="28"/>
        </w:rPr>
      </w:pPr>
      <w:r>
        <w:rPr>
          <w:sz w:val="28"/>
        </w:rPr>
        <w:t xml:space="preserve">Новосибирский район занимает ведущее место среди муниципальных образований по количеству субъектов малого и среднего предпринимательства (далее – </w:t>
      </w:r>
      <w:r>
        <w:rPr>
          <w:sz w:val="28"/>
        </w:rPr>
        <w:t xml:space="preserve">МиСП</w:t>
      </w:r>
      <w:r>
        <w:rPr>
          <w:sz w:val="28"/>
        </w:rPr>
        <w:t xml:space="preserve">). </w:t>
      </w:r>
      <w:r>
        <w:rPr>
          <w:sz w:val="28"/>
        </w:rPr>
      </w:r>
      <w:r>
        <w:rPr>
          <w:sz w:val="28"/>
        </w:rPr>
      </w:r>
    </w:p>
    <w:p>
      <w:pPr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По данным Единого реестра Федеральной налоговой службы, число </w:t>
      </w:r>
      <w:r>
        <w:rPr>
          <w:sz w:val="28"/>
          <w:highlight w:val="white"/>
        </w:rPr>
        <w:t xml:space="preserve">МиСП</w:t>
      </w:r>
      <w:r>
        <w:rPr>
          <w:sz w:val="28"/>
          <w:highlight w:val="white"/>
        </w:rPr>
        <w:t xml:space="preserve"> в Новосибирском районе составляет 10064 единиц, из них 2826– юридические лица (снижение к уровню 2022 года - 0,9%) и 7238 -  индивидуальные предприниматели (прирост к 2022 году – 15,1 %).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Две трети численности субъектов </w:t>
      </w:r>
      <w:r>
        <w:rPr>
          <w:sz w:val="28"/>
          <w:highlight w:val="white"/>
        </w:rPr>
        <w:t xml:space="preserve">МиСП</w:t>
      </w:r>
      <w:r>
        <w:rPr>
          <w:sz w:val="28"/>
          <w:highlight w:val="white"/>
        </w:rPr>
        <w:t xml:space="preserve"> занята в сфере услуг и торговли. Численность занятых на предприятиях малого и среднего предпринимательства по итогам 2023 года увеличилась на 5,4 % по сравнению с 2022 годом. 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Доля малого и среднего бизнеса в общем объеме выпуска товаров, работ и услуг составляет 31,5 % (на уровне 2022 года).   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9"/>
        <w:jc w:val="both"/>
        <w:rPr>
          <w:sz w:val="28"/>
          <w:szCs w:val="28"/>
        </w:rPr>
      </w:pPr>
      <w:r>
        <w:rPr>
          <w:sz w:val="28"/>
        </w:rPr>
        <w:t xml:space="preserve">Малый и средний бизнес является опорой экономики, он обеспечивает значимые налоговые поступления в бюджет, создает рабочие места, расширяет рынок товаров и услуг. Государство заинтересовано в развитии </w:t>
      </w:r>
      <w:r>
        <w:rPr>
          <w:sz w:val="28"/>
        </w:rPr>
        <w:t xml:space="preserve">МиСП</w:t>
      </w:r>
      <w:r>
        <w:rPr>
          <w:sz w:val="28"/>
        </w:rPr>
        <w:t xml:space="preserve"> и на всех уровнях власти оказывает ему поддержку посредством государственных программ, через фонды и институты развития </w:t>
      </w:r>
      <w:r>
        <w:rPr>
          <w:sz w:val="28"/>
        </w:rPr>
        <w:t xml:space="preserve">МиСП</w:t>
      </w:r>
      <w:r>
        <w:rPr>
          <w:sz w:val="28"/>
        </w:rPr>
        <w:t xml:space="preserve">.</w:t>
      </w:r>
      <w:r>
        <w:rPr>
          <w:rFonts w:ascii="Arial" w:hAnsi="Arial"/>
          <w:sz w:val="20"/>
        </w:rPr>
        <w:t xml:space="preserve"> </w:t>
      </w:r>
      <w:r>
        <w:rPr>
          <w:sz w:val="28"/>
        </w:rPr>
        <w:t xml:space="preserve">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sz w:val="28"/>
        </w:rPr>
        <w:t xml:space="preserve">В 2023 году, финансовую поддержку </w:t>
      </w:r>
      <w:r>
        <w:rPr>
          <w:sz w:val="28"/>
        </w:rPr>
        <w:t xml:space="preserve">МиСП</w:t>
      </w:r>
      <w:r>
        <w:rPr>
          <w:sz w:val="28"/>
        </w:rPr>
        <w:t xml:space="preserve"> оказывали федеральные и региональные организации – АНО «Центр содействия развитию предпринимательства Новосибирской области», </w:t>
      </w:r>
      <w:r>
        <w:rPr>
          <w:sz w:val="28"/>
        </w:rPr>
        <w:t xml:space="preserve">микрокредитная</w:t>
      </w:r>
      <w:r>
        <w:rPr>
          <w:sz w:val="28"/>
        </w:rPr>
        <w:t xml:space="preserve"> компания «Новосибирский областной Фонд микрофинансирования субъектов малого и среднего предпринима</w:t>
      </w:r>
      <w:r>
        <w:rPr>
          <w:sz w:val="28"/>
        </w:rPr>
        <w:t xml:space="preserve">тельства», АО «Федеральная корпорация по развитию малого и среднего предпринимательства», Фонд развития малого и среднего предпринимательства Новосибирской области, ФГБУ «Фонд содействия развитию малых форм предприятий в научно-технической сфере» и другие.</w:t>
      </w:r>
      <w:r/>
    </w:p>
    <w:p>
      <w:pPr>
        <w:ind w:firstLine="709"/>
        <w:jc w:val="both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sz w:val="28"/>
        </w:rPr>
        <w:t xml:space="preserve">За год 997 субъектов малого и среднего бизнеса Новосибирского района получили из различных источников финансовую, консультационную, информационную и образовательную поддержку, в том числе: </w:t>
      </w:r>
      <w:r/>
    </w:p>
    <w:p>
      <w:pPr>
        <w:ind w:firstLine="709"/>
        <w:jc w:val="both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sz w:val="28"/>
        </w:rPr>
        <w:t xml:space="preserve">- финансовую поддержку в виде субсидий, грантов, гарантий и поручительств – 225 субъекта </w:t>
      </w:r>
      <w:r>
        <w:rPr>
          <w:sz w:val="28"/>
        </w:rPr>
        <w:t xml:space="preserve">МиСП</w:t>
      </w:r>
      <w:r>
        <w:rPr>
          <w:sz w:val="28"/>
        </w:rPr>
        <w:t xml:space="preserve"> на общую сумму 896 млн </w:t>
      </w:r>
      <w:r>
        <w:rPr>
          <w:sz w:val="28"/>
        </w:rPr>
        <w:t xml:space="preserve">руб</w:t>
      </w:r>
      <w:r>
        <w:rPr>
          <w:sz w:val="28"/>
        </w:rPr>
        <w:t xml:space="preserve">;</w:t>
      </w:r>
      <w:r/>
    </w:p>
    <w:p>
      <w:pPr>
        <w:ind w:firstLine="709"/>
        <w:jc w:val="both"/>
        <w:rPr>
          <w:sz w:val="28"/>
          <w:szCs w:val="28"/>
        </w:rPr>
      </w:pPr>
      <w:r>
        <w:rPr>
          <w:sz w:val="28"/>
        </w:rPr>
        <w:t xml:space="preserve">- консультационные, образовательные и информационные услуги – 772 субъекта.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</w:rPr>
      </w:pPr>
      <w:r>
        <w:rPr>
          <w:sz w:val="28"/>
        </w:rPr>
        <w:t xml:space="preserve">На уровне района действует муниципальная программа «Развитие и поддержка субъектов малого и среднего предпринимательства Н</w:t>
      </w:r>
      <w:r>
        <w:rPr>
          <w:sz w:val="28"/>
        </w:rPr>
        <w:t xml:space="preserve">овосибирского района Новосибирской области на 2017-2024 годы». В 2023 году в рамках данной программы и государственной программы «Развитие и поддержка субъектов малого и среднего предпринимательства в Новосибирской области» 22 субъектам малого и среднего п</w:t>
      </w:r>
      <w:r>
        <w:rPr>
          <w:sz w:val="28"/>
        </w:rPr>
        <w:t xml:space="preserve">редпринимательства (в 2022 году – 9) была оказана финансовая поддержка на компенсацию части затрат на приобретение оборудования, аренду производственных помещений, компенсацию процентных выплат по кредитам, а также затрат, связанных с участием в ярмарках. </w:t>
      </w:r>
      <w:r>
        <w:rPr>
          <w:color w:val="auto"/>
          <w:sz w:val="28"/>
        </w:rPr>
        <w:t xml:space="preserve">Сумма поддержки составила 6,6 млн </w:t>
      </w:r>
      <w:r>
        <w:rPr>
          <w:color w:val="auto"/>
          <w:sz w:val="28"/>
        </w:rPr>
        <w:t xml:space="preserve">руб</w:t>
      </w:r>
      <w:r>
        <w:rPr>
          <w:color w:val="auto"/>
          <w:sz w:val="28"/>
        </w:rPr>
        <w:t xml:space="preserve"> (в 2022 году – 3,0 млн </w:t>
      </w:r>
      <w:r>
        <w:rPr>
          <w:color w:val="auto"/>
          <w:sz w:val="28"/>
        </w:rPr>
        <w:t xml:space="preserve">руб</w:t>
      </w:r>
      <w:r>
        <w:rPr>
          <w:color w:val="auto"/>
          <w:sz w:val="28"/>
        </w:rPr>
        <w:t xml:space="preserve">), из них 3,6 млн </w:t>
      </w:r>
      <w:r>
        <w:rPr>
          <w:color w:val="auto"/>
          <w:sz w:val="28"/>
        </w:rPr>
        <w:t xml:space="preserve">руб</w:t>
      </w:r>
      <w:r>
        <w:rPr>
          <w:color w:val="auto"/>
          <w:sz w:val="28"/>
        </w:rPr>
        <w:t xml:space="preserve"> – областной бюджет и 3 млн </w:t>
      </w:r>
      <w:r>
        <w:rPr>
          <w:color w:val="auto"/>
          <w:sz w:val="28"/>
        </w:rPr>
        <w:t xml:space="preserve">руб</w:t>
      </w:r>
      <w:r>
        <w:rPr>
          <w:color w:val="auto"/>
          <w:sz w:val="28"/>
        </w:rPr>
        <w:t xml:space="preserve"> – районный бюджет. </w:t>
      </w:r>
      <w:r>
        <w:rPr>
          <w:sz w:val="28"/>
        </w:rPr>
      </w:r>
      <w:r>
        <w:rPr>
          <w:sz w:val="28"/>
        </w:rPr>
      </w:r>
    </w:p>
    <w:p>
      <w:pPr>
        <w:ind w:firstLine="709"/>
        <w:jc w:val="both"/>
        <w:rPr>
          <w:sz w:val="28"/>
        </w:rPr>
      </w:pPr>
      <w:r>
        <w:rPr>
          <w:sz w:val="28"/>
        </w:rPr>
        <w:t xml:space="preserve">На постоянной основе ведется информационно-консультационная работа по вопросам развития малого и среднего бизнеса, оказывается помощь при подготовке документации для участия в конкурсе на получение поддержки.</w:t>
      </w:r>
      <w:r>
        <w:rPr>
          <w:sz w:val="28"/>
        </w:rPr>
      </w:r>
      <w:r>
        <w:rPr>
          <w:sz w:val="28"/>
        </w:rPr>
      </w:r>
    </w:p>
    <w:p>
      <w:pPr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В сентябре 2023 года администрацией Новосибирского района и </w:t>
      </w:r>
      <w:r>
        <w:rPr>
          <w:highlight w:val="white"/>
        </w:rPr>
        <w:br/>
      </w:r>
      <w:r>
        <w:rPr>
          <w:sz w:val="28"/>
          <w:highlight w:val="white"/>
        </w:rPr>
        <w:t xml:space="preserve">р.п</w:t>
      </w:r>
      <w:r>
        <w:rPr>
          <w:sz w:val="28"/>
          <w:highlight w:val="white"/>
        </w:rPr>
        <w:t xml:space="preserve">. </w:t>
      </w:r>
      <w:r>
        <w:rPr>
          <w:sz w:val="28"/>
          <w:highlight w:val="white"/>
        </w:rPr>
        <w:t xml:space="preserve">Краснообска</w:t>
      </w:r>
      <w:r>
        <w:rPr>
          <w:sz w:val="28"/>
          <w:highlight w:val="white"/>
        </w:rPr>
        <w:t xml:space="preserve"> при поддержке </w:t>
      </w:r>
      <w:r>
        <w:rPr>
          <w:sz w:val="28"/>
          <w:highlight w:val="white"/>
        </w:rPr>
        <w:t xml:space="preserve">Минпромторга</w:t>
      </w:r>
      <w:r>
        <w:rPr>
          <w:sz w:val="28"/>
          <w:highlight w:val="white"/>
        </w:rPr>
        <w:t xml:space="preserve"> Новосибирской области была организована традиционная оптово-розничная универсальная ярмарка «</w:t>
      </w:r>
      <w:r>
        <w:rPr>
          <w:sz w:val="28"/>
          <w:highlight w:val="white"/>
        </w:rPr>
        <w:t xml:space="preserve">Краснообская</w:t>
      </w:r>
      <w:r>
        <w:rPr>
          <w:sz w:val="28"/>
          <w:highlight w:val="white"/>
        </w:rPr>
        <w:t xml:space="preserve"> осень». На ярмарке были представлены 10 районов и пять городов региона. В работе ярмарки приняли участие 270 предприятий и индивидуальных предпринимателей (2022 г. – 255), из них более </w:t>
      </w:r>
      <w:r>
        <w:rPr>
          <w:sz w:val="28"/>
        </w:rPr>
        <w:t xml:space="preserve">20 % - это товаропроизводители из Новосибирского района (52 предприятия). Товарооборот ярмарки составил </w:t>
      </w:r>
      <w:r>
        <w:rPr>
          <w:sz w:val="28"/>
        </w:rPr>
        <w:br/>
        <w:t xml:space="preserve">18,2 млн руб., это на 15 % больше, чем в 2022 году. Малыми и большими медалями ярмарки были награждены десятки товаропроизводителей. 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pStyle w:val="966"/>
        <w:ind w:left="426"/>
        <w:jc w:val="both"/>
        <w:tabs>
          <w:tab w:val="left" w:pos="709" w:leader="none"/>
        </w:tabs>
        <w:rPr>
          <w:sz w:val="28"/>
          <w:szCs w:val="28"/>
        </w:rPr>
      </w:pPr>
      <w:r>
        <w:rPr>
          <w:sz w:val="28"/>
          <w:highlight w:val="none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jc w:val="both"/>
        <w:rPr>
          <w:b/>
          <w:bCs/>
          <w:i/>
          <w:sz w:val="28"/>
          <w:szCs w:val="28"/>
        </w:rPr>
      </w:pPr>
      <w:r>
        <w:rPr>
          <w:sz w:val="28"/>
        </w:rPr>
        <w:tab/>
      </w:r>
      <w:r>
        <w:rPr>
          <w:b/>
          <w:i/>
          <w:sz w:val="28"/>
        </w:rPr>
        <w:t xml:space="preserve">1.4. Потребительский рынок </w:t>
      </w:r>
      <w:r>
        <w:rPr>
          <w:b/>
          <w:bCs/>
          <w:i/>
          <w:sz w:val="28"/>
          <w:szCs w:val="28"/>
        </w:rPr>
      </w:r>
      <w:r>
        <w:rPr>
          <w:b/>
          <w:bCs/>
          <w:i/>
          <w:sz w:val="28"/>
          <w:szCs w:val="28"/>
        </w:rPr>
      </w:r>
    </w:p>
    <w:p>
      <w:pPr>
        <w:jc w:val="both"/>
        <w:rPr>
          <w:b/>
          <w:bCs/>
          <w:i/>
          <w:sz w:val="28"/>
          <w:szCs w:val="28"/>
        </w:rPr>
      </w:pPr>
      <w:r>
        <w:rPr>
          <w:b/>
          <w:bCs/>
          <w:i/>
          <w:sz w:val="28"/>
          <w:szCs w:val="28"/>
        </w:rPr>
      </w:r>
      <w:r>
        <w:rPr>
          <w:b/>
          <w:bCs/>
          <w:i/>
          <w:sz w:val="28"/>
          <w:szCs w:val="28"/>
        </w:rPr>
      </w:r>
      <w:r>
        <w:rPr>
          <w:b/>
          <w:bCs/>
          <w:i/>
          <w:sz w:val="28"/>
          <w:szCs w:val="28"/>
        </w:rPr>
      </w:r>
    </w:p>
    <w:p>
      <w:pPr>
        <w:ind w:firstLine="709"/>
        <w:jc w:val="both"/>
        <w:rPr>
          <w:sz w:val="28"/>
        </w:rPr>
      </w:pPr>
      <w:r>
        <w:rPr>
          <w:sz w:val="28"/>
        </w:rPr>
        <w:t xml:space="preserve">Потребительский рынок Новосибирского района представлен достаточно развитой сетью предприятий торговли, общественного питания и бытового обслуживания населения. </w:t>
      </w:r>
      <w:r>
        <w:rPr>
          <w:sz w:val="28"/>
        </w:rPr>
      </w:r>
      <w:r>
        <w:rPr>
          <w:sz w:val="28"/>
        </w:rPr>
      </w:r>
    </w:p>
    <w:p>
      <w:pPr>
        <w:ind w:firstLine="709"/>
        <w:jc w:val="both"/>
        <w:rPr>
          <w:sz w:val="28"/>
          <w:szCs w:val="28"/>
        </w:rPr>
      </w:pPr>
      <w:r>
        <w:rPr>
          <w:sz w:val="28"/>
        </w:rPr>
        <w:t xml:space="preserve">Торговое обслуживание на территории Новосибирского района осуществляют: 617 – розничных объектов торговли (из них 45 магазинов потребительской кооперации,</w:t>
      </w:r>
      <w:r>
        <w:rPr>
          <w:sz w:val="28"/>
          <w:highlight w:val="white"/>
        </w:rPr>
        <w:t xml:space="preserve"> 13 – торговых центров, </w:t>
      </w:r>
      <w:r>
        <w:rPr>
          <w:sz w:val="28"/>
        </w:rPr>
        <w:t xml:space="preserve">23 – предприятия фирменной торговли, 216 специализированных магазинов и прочие), 281 – нестационарный объ</w:t>
      </w:r>
      <w:r>
        <w:rPr>
          <w:sz w:val="28"/>
          <w:szCs w:val="28"/>
        </w:rPr>
        <w:t xml:space="preserve">ект, 39 – автозаправочных станций, более 100 – оптовых объектов торговли.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Широко представлены крупные розничные торговые сети популярных марок: «Магнит», «Пятёрочка», «Мария Ра», «</w:t>
      </w:r>
      <w:r>
        <w:rPr>
          <w:sz w:val="28"/>
          <w:szCs w:val="28"/>
        </w:rPr>
        <w:t xml:space="preserve">Fix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Price</w:t>
      </w:r>
      <w:r>
        <w:rPr>
          <w:sz w:val="28"/>
          <w:szCs w:val="28"/>
        </w:rPr>
        <w:t xml:space="preserve">», «Ярче», «Птицефабрика Октябрьская», Новосибирский районный союз сельских потребительских обществ и другие.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течение 2023 года в 7 населенных пунктах района открылось 9 сетевых магазинов («Мария-</w:t>
      </w:r>
      <w:r>
        <w:rPr>
          <w:sz w:val="28"/>
          <w:szCs w:val="28"/>
        </w:rPr>
        <w:t xml:space="preserve">ра</w:t>
      </w:r>
      <w:r>
        <w:rPr>
          <w:sz w:val="28"/>
          <w:szCs w:val="28"/>
        </w:rPr>
        <w:t xml:space="preserve">» – </w:t>
      </w:r>
      <w:r>
        <w:rPr>
          <w:sz w:val="28"/>
          <w:szCs w:val="28"/>
        </w:rPr>
        <w:t xml:space="preserve">п.Ложок</w:t>
      </w:r>
      <w:r>
        <w:rPr>
          <w:sz w:val="28"/>
          <w:szCs w:val="28"/>
        </w:rPr>
        <w:t xml:space="preserve">, «</w:t>
      </w:r>
      <w:r>
        <w:rPr>
          <w:sz w:val="28"/>
          <w:szCs w:val="28"/>
        </w:rPr>
        <w:t xml:space="preserve">Монеточка</w:t>
      </w:r>
      <w:r>
        <w:rPr>
          <w:sz w:val="28"/>
          <w:szCs w:val="28"/>
        </w:rPr>
        <w:t xml:space="preserve">» – </w:t>
      </w:r>
      <w:r>
        <w:rPr>
          <w:sz w:val="28"/>
          <w:szCs w:val="28"/>
        </w:rPr>
        <w:t xml:space="preserve">п.Березовка</w:t>
      </w:r>
      <w:r>
        <w:rPr>
          <w:sz w:val="28"/>
          <w:szCs w:val="28"/>
        </w:rPr>
        <w:t xml:space="preserve">, «Магнит» и «Монетка» в </w:t>
      </w:r>
      <w:r>
        <w:rPr>
          <w:sz w:val="28"/>
          <w:szCs w:val="28"/>
        </w:rPr>
        <w:t xml:space="preserve">п.Боровое</w:t>
      </w:r>
      <w:r>
        <w:rPr>
          <w:sz w:val="28"/>
          <w:szCs w:val="28"/>
        </w:rPr>
        <w:t xml:space="preserve">, «Пятерочка» в </w:t>
      </w:r>
      <w:r>
        <w:rPr>
          <w:sz w:val="28"/>
          <w:szCs w:val="28"/>
        </w:rPr>
        <w:t xml:space="preserve">п.Восход</w:t>
      </w:r>
      <w:r>
        <w:rPr>
          <w:sz w:val="28"/>
          <w:szCs w:val="28"/>
        </w:rPr>
        <w:t xml:space="preserve">, «Мария-</w:t>
      </w:r>
      <w:r>
        <w:rPr>
          <w:sz w:val="28"/>
          <w:szCs w:val="28"/>
        </w:rPr>
        <w:t xml:space="preserve">ра</w:t>
      </w:r>
      <w:r>
        <w:rPr>
          <w:sz w:val="28"/>
          <w:szCs w:val="28"/>
        </w:rPr>
        <w:t xml:space="preserve">» в </w:t>
      </w:r>
      <w:r>
        <w:rPr>
          <w:sz w:val="28"/>
          <w:szCs w:val="28"/>
        </w:rPr>
        <w:t xml:space="preserve">Краснообске</w:t>
      </w:r>
      <w:r>
        <w:rPr>
          <w:sz w:val="28"/>
          <w:szCs w:val="28"/>
        </w:rPr>
        <w:t xml:space="preserve">, «Пятерочка» и «Магнит» в п. Голубой Залив, «</w:t>
      </w:r>
      <w:r>
        <w:rPr>
          <w:sz w:val="28"/>
          <w:szCs w:val="28"/>
        </w:rPr>
        <w:t xml:space="preserve">Крюгер</w:t>
      </w:r>
      <w:r>
        <w:rPr>
          <w:sz w:val="28"/>
          <w:szCs w:val="28"/>
        </w:rPr>
        <w:t xml:space="preserve">-Хаус» в с. Толмачево).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постоянной основе в </w:t>
      </w:r>
      <w:r>
        <w:rPr>
          <w:sz w:val="28"/>
          <w:szCs w:val="28"/>
        </w:rPr>
        <w:t xml:space="preserve">Толмачевском</w:t>
      </w:r>
      <w:r>
        <w:rPr>
          <w:sz w:val="28"/>
          <w:szCs w:val="28"/>
        </w:rPr>
        <w:t xml:space="preserve"> сельсовете действует розничная ярмарка фермерских продуктов «Белая база».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решения проблемы в обеспечении жителей населенных пунктов Новосибирского района лекарственными средствами, в 2023 году силами Муниципального унитарного предприятия «Аптека № 206» открыто 3 аптечных </w:t>
      </w:r>
      <w:r>
        <w:rPr>
          <w:sz w:val="28"/>
          <w:szCs w:val="28"/>
        </w:rPr>
        <w:t xml:space="preserve">пункта:  в</w:t>
      </w:r>
      <w:r>
        <w:rPr>
          <w:sz w:val="28"/>
          <w:szCs w:val="28"/>
        </w:rPr>
        <w:t xml:space="preserve"> п. Мичуринский, в с. Ярково и в амбулатории </w:t>
      </w:r>
      <w:r>
        <w:rPr>
          <w:sz w:val="28"/>
          <w:szCs w:val="28"/>
        </w:rPr>
        <w:t xml:space="preserve">с.Верх</w:t>
      </w:r>
      <w:r>
        <w:rPr>
          <w:sz w:val="28"/>
          <w:szCs w:val="28"/>
        </w:rPr>
        <w:t xml:space="preserve">-Тула (в 2022 году – 2). Получено разрешение и настроена дистанционная торговля лекарственными препаратами в 10 населенных пунктах, где нет аптечных организаций (</w:t>
      </w:r>
      <w:r>
        <w:rPr>
          <w:sz w:val="28"/>
          <w:szCs w:val="28"/>
        </w:rPr>
        <w:t xml:space="preserve">с.Сенчанка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п.Крупской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с.Пайвино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с.Береговое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п.Прогресс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с.Шилово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с.Кубовая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п.Зеленый</w:t>
      </w:r>
      <w:r>
        <w:rPr>
          <w:sz w:val="28"/>
          <w:szCs w:val="28"/>
        </w:rPr>
        <w:t xml:space="preserve"> Мыс, </w:t>
      </w:r>
      <w:r>
        <w:rPr>
          <w:sz w:val="28"/>
          <w:szCs w:val="28"/>
        </w:rPr>
        <w:t xml:space="preserve">п.Степной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п.Голубой</w:t>
      </w:r>
      <w:r>
        <w:rPr>
          <w:sz w:val="28"/>
          <w:szCs w:val="28"/>
        </w:rPr>
        <w:t xml:space="preserve"> Залив).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</w:rPr>
        <w:t xml:space="preserve">В 2024 году планируется открытие аптечного пункта в </w:t>
      </w:r>
      <w:r>
        <w:rPr>
          <w:sz w:val="28"/>
          <w:szCs w:val="28"/>
        </w:rPr>
        <w:t xml:space="preserve">п.Березовка</w:t>
      </w:r>
      <w:r>
        <w:rPr>
          <w:sz w:val="28"/>
          <w:szCs w:val="28"/>
        </w:rPr>
        <w:t xml:space="preserve"> и дальнейшее увеличение охвата населенных пунктов дистанционной торговлей лекарственными препаратами (</w:t>
      </w:r>
      <w:r>
        <w:rPr>
          <w:sz w:val="28"/>
          <w:szCs w:val="28"/>
        </w:rPr>
        <w:t xml:space="preserve">ст.Иня</w:t>
      </w:r>
      <w:r>
        <w:rPr>
          <w:sz w:val="28"/>
          <w:szCs w:val="28"/>
        </w:rPr>
        <w:t xml:space="preserve"> Восточная, </w:t>
      </w:r>
      <w:r>
        <w:rPr>
          <w:sz w:val="28"/>
          <w:szCs w:val="28"/>
        </w:rPr>
        <w:t xml:space="preserve">с.Гусиный</w:t>
      </w:r>
      <w:r>
        <w:rPr>
          <w:sz w:val="28"/>
          <w:szCs w:val="28"/>
        </w:rPr>
        <w:t xml:space="preserve"> Брод, </w:t>
      </w:r>
      <w:r>
        <w:rPr>
          <w:sz w:val="28"/>
          <w:szCs w:val="28"/>
        </w:rPr>
        <w:t xml:space="preserve">п.Приобский</w:t>
      </w:r>
      <w:r>
        <w:rPr>
          <w:sz w:val="28"/>
          <w:szCs w:val="28"/>
        </w:rPr>
        <w:t xml:space="preserve"> и др.). В целях оказания поддержки МУП «Аптека № 206» в налаживании развозной торговли лекарственными средствами в бюджете Новосибирского района на 2024 год предусмотрены средства</w:t>
      </w:r>
      <w:r>
        <w:rPr>
          <w:sz w:val="28"/>
          <w:szCs w:val="28"/>
          <w:highlight w:val="white"/>
        </w:rPr>
        <w:t xml:space="preserve"> в размере 3 млн руб. на приобретение транспортной единицы (</w:t>
      </w:r>
      <w:r>
        <w:rPr>
          <w:sz w:val="28"/>
          <w:szCs w:val="28"/>
          <w:highlight w:val="white"/>
        </w:rPr>
        <w:t xml:space="preserve">ГАЗель</w:t>
      </w:r>
      <w:r>
        <w:rPr>
          <w:sz w:val="28"/>
          <w:szCs w:val="28"/>
          <w:highlight w:val="white"/>
        </w:rPr>
        <w:t xml:space="preserve">).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В ст</w:t>
      </w:r>
      <w:r>
        <w:rPr>
          <w:sz w:val="28"/>
          <w:szCs w:val="28"/>
          <w:highlight w:val="white"/>
        </w:rPr>
        <w:t xml:space="preserve">руктуре общего объема отгруженных товаров, выполненных работ и услуг предприятиями района в 2023 году, на долю торговли приходится 24,1 %. Товарооборот предприятий торговли в 2023 году вырос на 11,7 % в действующих ценах (индекс физического объема 107,2%, </w:t>
      </w:r>
      <w:r>
        <w:rPr>
          <w:sz w:val="28"/>
          <w:szCs w:val="28"/>
          <w:highlight w:val="white"/>
        </w:rPr>
        <w:t xml:space="preserve">что на 4,7% выше областного показателя</w:t>
      </w:r>
      <w:r>
        <w:rPr>
          <w:sz w:val="28"/>
          <w:szCs w:val="28"/>
          <w:highlight w:val="white"/>
        </w:rPr>
        <w:t xml:space="preserve">) и составил 58 694 млн руб.</w:t>
      </w:r>
      <w:r>
        <w:rPr>
          <w:sz w:val="28"/>
          <w:szCs w:val="28"/>
          <w:highlight w:val="white"/>
        </w:rPr>
        <w:t xml:space="preserve"> 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highlight w:val="white"/>
        </w:rPr>
      </w:pPr>
      <w:r>
        <w:rPr>
          <w:sz w:val="28"/>
          <w:szCs w:val="28"/>
          <w:highlight w:val="white"/>
        </w:rPr>
        <w:t xml:space="preserve">Разнообразные бытовые услуги населению оказывают 265 организаций и индивидуальных предпринимателей, из них большую долю составляют предприятия, предоставляющие б</w:t>
      </w:r>
      <w:r>
        <w:rPr>
          <w:sz w:val="28"/>
          <w:szCs w:val="28"/>
        </w:rPr>
        <w:t xml:space="preserve">ытовые</w:t>
      </w:r>
      <w:r>
        <w:rPr>
          <w:sz w:val="28"/>
          <w:szCs w:val="28"/>
        </w:rPr>
        <w:t xml:space="preserve"> услуги: парикмахерские, станции техобслуживания и ремонта автотранспорта, предприятия по ремонту и пошиву швейный изделий и обуви, ремонта и изготовления металлоизделий, автостоянки, автомойки и др. Муниципальные предприятия оказывают ритуальные услуги и </w:t>
      </w:r>
      <w:r>
        <w:rPr>
          <w:sz w:val="28"/>
          <w:szCs w:val="28"/>
          <w:highlight w:val="white"/>
        </w:rPr>
        <w:t xml:space="preserve">вывоз ЖБО. Индекс физического объема платных услуг населен</w:t>
      </w:r>
      <w:r>
        <w:rPr>
          <w:sz w:val="28"/>
          <w:highlight w:val="white"/>
        </w:rPr>
        <w:t xml:space="preserve">ию в 2023 году увеличился на 3,6 %, а бытовых – на 19,7 % и составил 8 925 млн руб. и 743 млн руб., соответственно.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left="-142" w:firstLine="709"/>
        <w:jc w:val="both"/>
        <w:tabs>
          <w:tab w:val="left" w:pos="567" w:leader="none"/>
          <w:tab w:val="left" w:pos="9498" w:leader="none"/>
          <w:tab w:val="left" w:pos="10206" w:leader="none"/>
        </w:tabs>
        <w:rPr>
          <w:sz w:val="28"/>
          <w:highlight w:val="white"/>
        </w:rPr>
      </w:pPr>
      <w:r>
        <w:rPr>
          <w:sz w:val="28"/>
          <w:highlight w:val="white"/>
        </w:rPr>
        <w:t xml:space="preserve">Общественное питание в районе представлено 84 общедоступными столовыми, закусочными, ресторанами и кафе. По итогам 2023 года оборот предприятий общественного питания составил 623,2 </w:t>
      </w:r>
      <w:r>
        <w:rPr>
          <w:sz w:val="28"/>
          <w:highlight w:val="white"/>
        </w:rPr>
        <w:t xml:space="preserve">млн.р</w:t>
      </w:r>
      <w:r>
        <w:rPr>
          <w:sz w:val="28"/>
          <w:highlight w:val="white"/>
        </w:rPr>
        <w:t xml:space="preserve">., индекс физического объема </w:t>
      </w:r>
      <w:r>
        <w:rPr>
          <w:sz w:val="28"/>
          <w:szCs w:val="28"/>
        </w:rPr>
        <w:t xml:space="preserve">–</w:t>
      </w:r>
      <w:r>
        <w:rPr>
          <w:sz w:val="28"/>
          <w:highlight w:val="white"/>
        </w:rPr>
        <w:t xml:space="preserve"> 134,1 </w:t>
      </w:r>
      <w:r>
        <w:rPr>
          <w:sz w:val="28"/>
          <w:highlight w:val="white"/>
        </w:rPr>
        <w:t xml:space="preserve">% .</w:t>
      </w:r>
      <w:r>
        <w:rPr>
          <w:sz w:val="28"/>
          <w:highlight w:val="white"/>
        </w:rPr>
        <w:t xml:space="preserve"> 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left="-142" w:firstLine="709"/>
        <w:jc w:val="both"/>
        <w:tabs>
          <w:tab w:val="left" w:pos="567" w:leader="none"/>
          <w:tab w:val="left" w:pos="9498" w:leader="none"/>
          <w:tab w:val="left" w:pos="10206" w:leader="none"/>
        </w:tabs>
        <w:rPr>
          <w:sz w:val="28"/>
          <w:szCs w:val="28"/>
          <w:highlight w:val="none"/>
        </w:rPr>
      </w:pPr>
      <w:r>
        <w:rPr>
          <w:sz w:val="28"/>
        </w:rPr>
        <w:t xml:space="preserve">Средняя заработная плата в сфере потребительского рынка составила около 38 </w:t>
      </w:r>
      <w:r>
        <w:rPr>
          <w:sz w:val="28"/>
        </w:rPr>
        <w:t xml:space="preserve">тыс.руб</w:t>
      </w:r>
      <w:r>
        <w:rPr>
          <w:sz w:val="28"/>
        </w:rPr>
        <w:t xml:space="preserve">., темп роста к уровню 2022 года – 127%.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-142" w:firstLine="709"/>
        <w:jc w:val="both"/>
        <w:tabs>
          <w:tab w:val="left" w:pos="567" w:leader="none"/>
          <w:tab w:val="left" w:pos="9498" w:leader="none"/>
          <w:tab w:val="left" w:pos="10206" w:leader="none"/>
        </w:tabs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-142" w:firstLine="709"/>
        <w:jc w:val="both"/>
        <w:tabs>
          <w:tab w:val="left" w:pos="567" w:leader="none"/>
          <w:tab w:val="left" w:pos="9498" w:leader="none"/>
          <w:tab w:val="left" w:pos="10206" w:leader="none"/>
        </w:tabs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66"/>
        <w:ind w:left="426"/>
        <w:jc w:val="both"/>
        <w:tabs>
          <w:tab w:val="left" w:pos="709" w:leader="none"/>
        </w:tabs>
        <w:rPr>
          <w:sz w:val="28"/>
          <w:szCs w:val="28"/>
          <w:highlight w:val="none"/>
        </w:rPr>
      </w:pPr>
      <w:r>
        <w:rPr>
          <w:sz w:val="28"/>
        </w:rPr>
        <w:t xml:space="preserve">1.5. Агропромышленный комплекс 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r/>
      <w:r/>
    </w:p>
    <w:p>
      <w:pPr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Новосибирский район является одним из ведущих производителей сельскохозяйственной продукции в регионе и из года в год занимает лидирующие места среди муниципальных районов области.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В 2023 году Новосибирский район вновь стал победителем трудового соревнования в агропромышленном комплексе Новосибирской области в Центрально-Восточной зоне. Предприятие района – «УЧХОЗ </w:t>
      </w:r>
      <w:r>
        <w:rPr>
          <w:sz w:val="28"/>
          <w:highlight w:val="white"/>
        </w:rPr>
        <w:t xml:space="preserve">Тулинское</w:t>
      </w:r>
      <w:r>
        <w:rPr>
          <w:sz w:val="28"/>
          <w:highlight w:val="white"/>
        </w:rPr>
        <w:t xml:space="preserve">» – награждено автомобилем «Лада Нива».  ООО «УЧХОЗ </w:t>
      </w:r>
      <w:r>
        <w:rPr>
          <w:sz w:val="28"/>
          <w:highlight w:val="white"/>
        </w:rPr>
        <w:t xml:space="preserve">Тулинское</w:t>
      </w:r>
      <w:r>
        <w:rPr>
          <w:sz w:val="28"/>
          <w:highlight w:val="white"/>
        </w:rPr>
        <w:t xml:space="preserve">» уже четвертый год подряд подтверждает звание лучшего сельхозпредприятия. Еще 8 </w:t>
      </w:r>
      <w:r>
        <w:rPr>
          <w:sz w:val="28"/>
          <w:highlight w:val="white"/>
        </w:rPr>
        <w:t xml:space="preserve">представителей трудовых коллективов: АО «</w:t>
      </w:r>
      <w:r>
        <w:rPr>
          <w:sz w:val="28"/>
          <w:highlight w:val="white"/>
        </w:rPr>
        <w:t xml:space="preserve">Кудряшовское</w:t>
      </w:r>
      <w:r>
        <w:rPr>
          <w:sz w:val="28"/>
          <w:highlight w:val="white"/>
        </w:rPr>
        <w:t xml:space="preserve">», Птицефабрика «Ново-</w:t>
      </w:r>
      <w:r>
        <w:rPr>
          <w:sz w:val="28"/>
          <w:highlight w:val="white"/>
        </w:rPr>
        <w:t xml:space="preserve">Барышевская</w:t>
      </w:r>
      <w:r>
        <w:rPr>
          <w:sz w:val="28"/>
          <w:highlight w:val="white"/>
        </w:rPr>
        <w:t xml:space="preserve">», Птицефабрика «Октябрьская», ТК «Обской», ТК «Новосибирский», ООО «</w:t>
      </w:r>
      <w:r>
        <w:rPr>
          <w:sz w:val="28"/>
          <w:highlight w:val="white"/>
        </w:rPr>
        <w:t xml:space="preserve">Толмачевское</w:t>
      </w:r>
      <w:r>
        <w:rPr>
          <w:sz w:val="28"/>
          <w:highlight w:val="white"/>
        </w:rPr>
        <w:t xml:space="preserve">», АО «Зерно Сибири», УЧХОЗ </w:t>
      </w:r>
      <w:r>
        <w:rPr>
          <w:sz w:val="28"/>
          <w:highlight w:val="white"/>
        </w:rPr>
        <w:t xml:space="preserve">Тулинское</w:t>
      </w:r>
      <w:r>
        <w:rPr>
          <w:sz w:val="28"/>
          <w:highlight w:val="white"/>
        </w:rPr>
        <w:t xml:space="preserve">  получили</w:t>
      </w:r>
      <w:r>
        <w:rPr>
          <w:sz w:val="28"/>
          <w:highlight w:val="white"/>
        </w:rPr>
        <w:t xml:space="preserve"> благодарственные письма и денежные премии.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Аграрный сектор экономики района представлен 44 сельскохозяйственными организациями и 5 перерабатывающими предприятиями, 9 крестьянскими (фермерскими) хозяйствами, а также более 26 тыс. личными подсобными хозяйствами граждан</w:t>
      </w:r>
      <w:r>
        <w:rPr>
          <w:sz w:val="28"/>
        </w:rPr>
        <w:t xml:space="preserve"> (</w:t>
      </w:r>
      <w:r>
        <w:rPr>
          <w:sz w:val="28"/>
          <w:highlight w:val="white"/>
        </w:rPr>
        <w:t xml:space="preserve">по результатам сельскохозяйственной переписи).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highlight w:val="white"/>
        </w:rPr>
        <w:t xml:space="preserve">Среднесписочная численность работников на предприятиях сельского хоз</w:t>
      </w:r>
      <w:r>
        <w:rPr>
          <w:sz w:val="28"/>
          <w:highlight w:val="white"/>
        </w:rPr>
        <w:t xml:space="preserve">яйства в 2023 году – 3631 человек (на уровне 2022 года). Среднемесячная заработная плата работников сельхозпредприятий увеличилась в 2023 году на 7,2 % и составила 61071 руб.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color w:val="000000" w:themeColor="text1"/>
          <w:sz w:val="28"/>
          <w:highlight w:val="white"/>
        </w:rPr>
        <w:t xml:space="preserve">Несмотря на экономические сложности и непростые климатические условия, агропромышленный комплекс Новосибирского района остается одной из стабильно работающих отраслей.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highlight w:val="white"/>
        </w:rPr>
        <w:t xml:space="preserve">По итогам 2023 года в Новосибирском районе объем производства сельскохозяйственной продукции в хозяйствах всех категорий составил 23,5 млрд руб., темп роста к уровню 2022 года – 101,9 </w:t>
      </w:r>
      <w:r>
        <w:rPr>
          <w:sz w:val="28"/>
          <w:highlight w:val="white"/>
        </w:rPr>
        <w:t xml:space="preserve">%, </w:t>
      </w:r>
      <w:r>
        <w:rPr>
          <w:color w:val="000000" w:themeColor="text1"/>
          <w:sz w:val="28"/>
          <w:highlight w:val="white"/>
        </w:rPr>
        <w:t xml:space="preserve"> индекс</w:t>
      </w:r>
      <w:r>
        <w:rPr>
          <w:color w:val="000000" w:themeColor="text1"/>
          <w:sz w:val="28"/>
          <w:highlight w:val="white"/>
        </w:rPr>
        <w:t xml:space="preserve"> производства продукции сельского хозяйства в сопоставимых ценах составил 100,5 %. 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Новосибирский </w:t>
      </w:r>
      <w:r>
        <w:rPr>
          <w:sz w:val="28"/>
          <w:highlight w:val="white"/>
        </w:rPr>
        <w:t xml:space="preserve">район</w:t>
      </w:r>
      <w:r>
        <w:rPr>
          <w:sz w:val="28"/>
          <w:highlight w:val="white"/>
        </w:rPr>
        <w:t xml:space="preserve"> как и ранее остается основным производителем картофеля и овощей в Новосибирской области. Сельскохо</w:t>
      </w:r>
      <w:r>
        <w:rPr>
          <w:sz w:val="28"/>
          <w:highlight w:val="white"/>
        </w:rPr>
        <w:t xml:space="preserve">зяйственные организации района производят до 40 % картофеля от общего областного объема и 95 % овощей закрытого грунта.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В хозяйствах всех категорий произведено: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- зерна – 47 тыс. тонн, при урожайности 15,6 ц/га (темп роста к 2022 году – 60% и 58%, соответственно);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- картофеля – 30 тыс. тонн при урожайности 198 ц/га (к уровню 2022 года - 89% и 90%, соответственно);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9"/>
        <w:jc w:val="both"/>
        <w:rPr>
          <w:sz w:val="28"/>
          <w:szCs w:val="28"/>
        </w:rPr>
      </w:pPr>
      <w:r>
        <w:rPr>
          <w:sz w:val="28"/>
          <w:highlight w:val="white"/>
        </w:rPr>
        <w:t xml:space="preserve">- заготовлено кормов более 55 центнеров кормовых единиц на условную голову крупного рогатого скота (77 %).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</w:rPr>
        <w:t xml:space="preserve">Причиной снижения урожайности в 2023 году стало засушливое лето.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Высокие результаты по урожайности зерновых культур получили сельскохозяйственные предприятия: АО «</w:t>
      </w:r>
      <w:r>
        <w:rPr>
          <w:sz w:val="28"/>
          <w:highlight w:val="white"/>
        </w:rPr>
        <w:t xml:space="preserve">Кудряшовское</w:t>
      </w:r>
      <w:r>
        <w:rPr>
          <w:sz w:val="28"/>
          <w:highlight w:val="white"/>
        </w:rPr>
        <w:t xml:space="preserve">» (23 ц/га), АО «Зерно Сибири» (29 ц/га) и ООО «Учхоз </w:t>
      </w:r>
      <w:r>
        <w:rPr>
          <w:sz w:val="28"/>
          <w:highlight w:val="white"/>
        </w:rPr>
        <w:t xml:space="preserve">Тулинское</w:t>
      </w:r>
      <w:r>
        <w:rPr>
          <w:sz w:val="28"/>
          <w:highlight w:val="white"/>
        </w:rPr>
        <w:t xml:space="preserve">» (25 ц/га). 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По производству овощей в закрытом грунте в регионе, Новосибирский район на протяжении последних лет остается признанным лидером. В отчетном году тепличными хозяйствами произведено более 40 тыс. тонн (к уровню 2022 года - 69%), при урожайности – 56 кг/</w:t>
      </w:r>
      <w:r>
        <w:rPr>
          <w:sz w:val="28"/>
          <w:highlight w:val="white"/>
        </w:rPr>
        <w:t xml:space="preserve">кв.м</w:t>
      </w:r>
      <w:r>
        <w:rPr>
          <w:sz w:val="28"/>
          <w:highlight w:val="white"/>
        </w:rPr>
        <w:t xml:space="preserve">.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Высоких показателей по производству овощей в закрытом грунте достигли: ТК «Обской», ОАО ТК «</w:t>
      </w:r>
      <w:r>
        <w:rPr>
          <w:sz w:val="28"/>
          <w:highlight w:val="white"/>
        </w:rPr>
        <w:t xml:space="preserve">Толмачевский</w:t>
      </w:r>
      <w:r>
        <w:rPr>
          <w:sz w:val="28"/>
          <w:highlight w:val="white"/>
        </w:rPr>
        <w:t xml:space="preserve">», ООО ТК «Новосибирский». По производству овощей открытого грунта и картофеля: ЗАО «Мичуринец», АО «Приобское», ООО «Сады Гиганта», </w:t>
      </w:r>
      <w:r>
        <w:rPr>
          <w:sz w:val="28"/>
          <w:highlight w:val="white"/>
        </w:rPr>
        <w:t xml:space="preserve">СхП</w:t>
      </w:r>
      <w:r>
        <w:rPr>
          <w:sz w:val="28"/>
          <w:highlight w:val="white"/>
        </w:rPr>
        <w:t xml:space="preserve"> «</w:t>
      </w:r>
      <w:r>
        <w:rPr>
          <w:sz w:val="28"/>
          <w:highlight w:val="white"/>
        </w:rPr>
        <w:t xml:space="preserve">Ярковское</w:t>
      </w:r>
      <w:r>
        <w:rPr>
          <w:sz w:val="28"/>
          <w:highlight w:val="white"/>
        </w:rPr>
        <w:t xml:space="preserve">», ООО «</w:t>
      </w:r>
      <w:r>
        <w:rPr>
          <w:sz w:val="28"/>
          <w:highlight w:val="white"/>
        </w:rPr>
        <w:t xml:space="preserve">Агродело</w:t>
      </w:r>
      <w:r>
        <w:rPr>
          <w:sz w:val="28"/>
          <w:highlight w:val="white"/>
        </w:rPr>
        <w:t xml:space="preserve">».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Овощей открытого грунта по итогам года произведено – 12 тыс. тонн (116,8% к уровню 2022 года), при урожайности – 413,6 (2021 – 376) ц/га (рост к уровню 2022 года 110 %).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Мяса скота и птицы в живом весе в хозяйствах всех категорий района произведено 25,2 тыс. тонн (к уровню 2022 года – 44,5 %). Снижение показателя связано с ликвидацией поголовья свиней в АО «</w:t>
      </w:r>
      <w:r>
        <w:rPr>
          <w:sz w:val="28"/>
          <w:highlight w:val="white"/>
        </w:rPr>
        <w:t xml:space="preserve">Кудряшовское</w:t>
      </w:r>
      <w:r>
        <w:rPr>
          <w:sz w:val="28"/>
          <w:highlight w:val="white"/>
        </w:rPr>
        <w:t xml:space="preserve">» в связи с проводимой на предприятии санацией. 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Существенный вклад в производство мяса внесен ЗАО Птицефабрика «Ново-</w:t>
      </w:r>
      <w:r>
        <w:rPr>
          <w:sz w:val="28"/>
          <w:highlight w:val="white"/>
        </w:rPr>
        <w:t xml:space="preserve">Барышевск</w:t>
      </w:r>
      <w:r>
        <w:rPr>
          <w:sz w:val="28"/>
          <w:highlight w:val="white"/>
        </w:rPr>
        <w:t xml:space="preserve">ая</w:t>
      </w:r>
      <w:r>
        <w:rPr>
          <w:sz w:val="28"/>
          <w:highlight w:val="white"/>
        </w:rPr>
        <w:t xml:space="preserve">» </w:t>
      </w:r>
      <w:r>
        <w:rPr>
          <w:sz w:val="28"/>
          <w:highlight w:val="white"/>
        </w:rPr>
        <w:t xml:space="preserve">(67,5% от общего объема).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Валовый надой молока составил 26 тыс. тонн </w:t>
      </w:r>
      <w:r>
        <w:rPr>
          <w:sz w:val="28"/>
          <w:highlight w:val="white"/>
        </w:rPr>
        <w:t xml:space="preserve">при продуктивности 10200 кг молока на корову (к уровню 2022 год -  110,6% и 103,9%, соответственно).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По производству молока лидерами в районе остаются ООО «Учхоз «</w:t>
      </w:r>
      <w:r>
        <w:rPr>
          <w:sz w:val="28"/>
          <w:highlight w:val="white"/>
        </w:rPr>
        <w:t xml:space="preserve">Тулинское</w:t>
      </w:r>
      <w:r>
        <w:rPr>
          <w:sz w:val="28"/>
          <w:highlight w:val="white"/>
        </w:rPr>
        <w:t xml:space="preserve">» и ООО «</w:t>
      </w:r>
      <w:r>
        <w:rPr>
          <w:sz w:val="28"/>
          <w:highlight w:val="white"/>
        </w:rPr>
        <w:t xml:space="preserve">Толмачевское</w:t>
      </w:r>
      <w:r>
        <w:rPr>
          <w:sz w:val="28"/>
          <w:highlight w:val="white"/>
        </w:rPr>
        <w:t xml:space="preserve">». 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Объем привлеченных инвестиций на развитие отрасли в 2023 году составил 1,4 млрд. руб. (темп роста к 2022 году – 72%). Средства были направлены на строительство и реконструкцию животноводческих и тепличных комплексов, на </w:t>
      </w:r>
      <w:r>
        <w:rPr>
          <w:sz w:val="28"/>
          <w:highlight w:val="white"/>
        </w:rPr>
        <w:t xml:space="preserve">техническое перевооружение сельскохозяйственного производства. Приобретена 61 единица техники (зерноуборочные, кормоуборочные и картофелеуборочные комбайны, тракторы, доильное оборудование, машины для обработки почвы и другая техника) на сумму 202 млн руб.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Государственную поддержку (из федерального и областного бюджетов) получили 26 сельскохозяйственных предприятий Новосибирского района. Общий объем финансовой поддержки составил</w:t>
      </w:r>
      <w:r>
        <w:rPr>
          <w:sz w:val="28"/>
          <w:highlight w:val="white"/>
        </w:rPr>
        <w:t xml:space="preserve"> 197 млн руб. (109,2 % к уровню 2022 года), из них: на компенсацию части затрат на приобретение техники и оборудования – 29,4 млн руб.; на развитие племенного животноводства – 10,1 млн руб., на возмещение части процентной ставки по кредитам – 12,9 млн руб.</w:t>
      </w:r>
      <w:r>
        <w:rPr>
          <w:sz w:val="28"/>
          <w:highlight w:val="white"/>
        </w:rPr>
        <w:t xml:space="preserve">,  возмещению</w:t>
      </w:r>
      <w:r>
        <w:rPr>
          <w:sz w:val="28"/>
          <w:highlight w:val="white"/>
        </w:rPr>
        <w:t xml:space="preserve"> производителям зерновых культур части затрат на производство и реализацию зерновых культур – 55 млн. руб. и пр.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«Ново-</w:t>
      </w:r>
      <w:r>
        <w:rPr>
          <w:sz w:val="28"/>
          <w:szCs w:val="28"/>
          <w:highlight w:val="white"/>
        </w:rPr>
        <w:t xml:space="preserve">Барышевская</w:t>
      </w:r>
      <w:r>
        <w:rPr>
          <w:sz w:val="28"/>
          <w:szCs w:val="28"/>
          <w:highlight w:val="white"/>
        </w:rPr>
        <w:t xml:space="preserve">» птицефабрика переходит на безотходное производство с 2022 года. В прошлом году на заводе открылся цех по переработке птичьего помета в органическое удобрение. </w:t>
      </w:r>
      <w:r>
        <w:rPr>
          <w:sz w:val="28"/>
          <w:szCs w:val="28"/>
          <w:highlight w:val="white"/>
        </w:rPr>
        <w:t xml:space="preserve">Учитывая,что</w:t>
      </w:r>
      <w:r>
        <w:rPr>
          <w:sz w:val="28"/>
          <w:szCs w:val="28"/>
          <w:highlight w:val="white"/>
        </w:rPr>
        <w:t xml:space="preserve"> проект эффективный, в 2023 году осуществляется строительство еще одного цеха  мощностью 10 тыс. тонн. Объем инвестиций 400 млн руб. 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В Холдинге «</w:t>
      </w:r>
      <w:r>
        <w:rPr>
          <w:sz w:val="28"/>
          <w:szCs w:val="28"/>
          <w:highlight w:val="white"/>
        </w:rPr>
        <w:t xml:space="preserve">Сибагро</w:t>
      </w:r>
      <w:r>
        <w:rPr>
          <w:sz w:val="28"/>
          <w:szCs w:val="28"/>
          <w:highlight w:val="white"/>
        </w:rPr>
        <w:t xml:space="preserve">» ведется реконструкция завода по производству комбикорма, в части </w:t>
      </w:r>
      <w:r>
        <w:rPr>
          <w:sz w:val="28"/>
          <w:szCs w:val="28"/>
          <w:highlight w:val="white"/>
        </w:rPr>
        <w:t xml:space="preserve">экспандирования</w:t>
      </w:r>
      <w:r>
        <w:rPr>
          <w:sz w:val="28"/>
          <w:szCs w:val="28"/>
          <w:highlight w:val="white"/>
        </w:rPr>
        <w:t xml:space="preserve"> сои. Введена в эксплуатацию 2-я линия гранулирования комбикормов. Объем инвестиций составил 646,9 млн. рублей.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Ведется строительство </w:t>
      </w:r>
      <w:r>
        <w:rPr>
          <w:sz w:val="28"/>
          <w:szCs w:val="28"/>
          <w:highlight w:val="white"/>
        </w:rPr>
        <w:t xml:space="preserve">Толмачевского</w:t>
      </w:r>
      <w:r>
        <w:rPr>
          <w:sz w:val="28"/>
          <w:szCs w:val="28"/>
          <w:highlight w:val="white"/>
        </w:rPr>
        <w:t xml:space="preserve"> молочного завода мощностью </w:t>
      </w:r>
      <w:r>
        <w:rPr>
          <w:sz w:val="28"/>
          <w:szCs w:val="28"/>
          <w:highlight w:val="white"/>
        </w:rPr>
        <w:t xml:space="preserve">по  переработке</w:t>
      </w:r>
      <w:r>
        <w:rPr>
          <w:sz w:val="28"/>
          <w:szCs w:val="28"/>
          <w:highlight w:val="white"/>
        </w:rPr>
        <w:t xml:space="preserve"> </w:t>
      </w:r>
      <w:r>
        <w:rPr>
          <w:sz w:val="28"/>
          <w:highlight w:val="white"/>
        </w:rPr>
        <w:t xml:space="preserve">–</w:t>
      </w:r>
      <w:r>
        <w:rPr>
          <w:sz w:val="28"/>
          <w:szCs w:val="28"/>
          <w:highlight w:val="white"/>
        </w:rPr>
        <w:t xml:space="preserve"> 40 тонн молочного сырья в сутки</w:t>
      </w:r>
      <w:r>
        <w:rPr>
          <w:sz w:val="28"/>
          <w:szCs w:val="28"/>
          <w:highlight w:val="white"/>
        </w:rPr>
        <w:t xml:space="preserve">. Реализация проекта позволит создать на территории Новосибирского района 70 новых рабочих мест. Строительство молокоперерабатывающего завода началось в апреле 2021 года, а запуск производства намечен в 2024 году. Объем инвестиций составит 1,2 млрд рублей.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highlight w:val="white"/>
        </w:rPr>
        <w:t xml:space="preserve">В рамках муниципальной программы Новосибирского района «Развитие сельского хозяйства и регулирование рынков сельскохозяйственной продукции, сырья, продовольствия в Новосибирском районе Новосибирской области» в 2023 </w:t>
      </w:r>
      <w:r>
        <w:rPr>
          <w:sz w:val="28"/>
          <w:highlight w:val="white"/>
        </w:rPr>
        <w:t xml:space="preserve">году на организацию мероприятий в агропромышленном комплексе было направлено 2,4 млн руб.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МКУ «Управление сельского хозяйства Новоси</w:t>
      </w:r>
      <w:r>
        <w:rPr>
          <w:sz w:val="28"/>
          <w:highlight w:val="white"/>
        </w:rPr>
        <w:t xml:space="preserve">бирского района» был организован конкурс профессиональных операторов по искусственному осеменению коров и операторов машинного доения коров. По итогам конкурса 6 победителей были награждены почетными грамотами администрации Новосибирского района и призами.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Также, среди предприятий агропромышленного комплекса Новосибирского района были организованы районные </w:t>
      </w:r>
      <w:r>
        <w:rPr>
          <w:sz w:val="28"/>
          <w:highlight w:val="white"/>
        </w:rPr>
        <w:t xml:space="preserve">соревнования. Соревнования проходили между сельскохозяйственными организациями разных форм собственности и представителями трудовых коллективов хозяйств – полеводами и животноводами, а также переработчиками сельскохозяйственной продукции. На Слете передови</w:t>
      </w:r>
      <w:r>
        <w:rPr>
          <w:sz w:val="28"/>
          <w:highlight w:val="white"/>
        </w:rPr>
        <w:t xml:space="preserve">ков сельскохозяйственного производства Новосибирского района победители соревнования (55 физических лиц, 11 юридических лиц и 1 крестьянское (фермерское) хозяйство) были отмечены почетными грамотами администрации Новосибирского района и денежными премиями.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left="0"/>
        <w:jc w:val="both"/>
        <w:tabs>
          <w:tab w:val="left" w:pos="567" w:leader="none"/>
          <w:tab w:val="left" w:pos="9498" w:leader="none"/>
          <w:tab w:val="left" w:pos="10206" w:leader="none"/>
        </w:tabs>
        <w:rPr>
          <w:sz w:val="28"/>
        </w:rPr>
      </w:pPr>
      <w:r>
        <w:rPr>
          <w:sz w:val="28"/>
        </w:rPr>
      </w:r>
      <w:r>
        <w:rPr>
          <w:sz w:val="28"/>
        </w:rPr>
      </w:r>
      <w:r>
        <w:rPr>
          <w:sz w:val="28"/>
        </w:rPr>
      </w:r>
    </w:p>
    <w:p>
      <w:pPr>
        <w:pStyle w:val="966"/>
        <w:numPr>
          <w:ilvl w:val="0"/>
          <w:numId w:val="1"/>
        </w:numPr>
        <w:jc w:val="both"/>
        <w:tabs>
          <w:tab w:val="left" w:pos="10206" w:leader="none"/>
        </w:tabs>
        <w:rPr>
          <w:i w:val="0"/>
          <w:sz w:val="28"/>
        </w:rPr>
      </w:pPr>
      <w:r>
        <w:rPr>
          <w:i w:val="0"/>
          <w:sz w:val="28"/>
        </w:rPr>
        <w:t xml:space="preserve">Строительство и дороги</w:t>
      </w:r>
      <w:r>
        <w:rPr>
          <w:i w:val="0"/>
          <w:sz w:val="28"/>
        </w:rPr>
      </w:r>
      <w:r>
        <w:rPr>
          <w:i w:val="0"/>
          <w:sz w:val="28"/>
        </w:rPr>
      </w:r>
    </w:p>
    <w:p>
      <w:r/>
      <w:r/>
    </w:p>
    <w:p>
      <w:pPr>
        <w:ind w:left="708"/>
        <w:rPr>
          <w:b/>
          <w:bCs/>
          <w:i/>
          <w:sz w:val="28"/>
          <w:szCs w:val="28"/>
        </w:rPr>
      </w:pPr>
      <w:r>
        <w:rPr>
          <w:b/>
          <w:i/>
          <w:sz w:val="28"/>
        </w:rPr>
        <w:t xml:space="preserve">2.1. Строительство жилья и социальных объектов </w:t>
      </w:r>
      <w:r>
        <w:rPr>
          <w:b/>
          <w:bCs/>
          <w:i/>
          <w:sz w:val="28"/>
          <w:szCs w:val="28"/>
        </w:rPr>
      </w:r>
      <w:r>
        <w:rPr>
          <w:b/>
          <w:bCs/>
          <w:i/>
          <w:sz w:val="28"/>
          <w:szCs w:val="28"/>
        </w:rPr>
      </w:r>
    </w:p>
    <w:p>
      <w:pPr>
        <w:pStyle w:val="982"/>
        <w:ind w:left="0"/>
        <w:jc w:val="both"/>
        <w:spacing w:after="0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pStyle w:val="983"/>
        <w:ind w:firstLine="709"/>
        <w:jc w:val="both"/>
        <w:spacing w:before="0" w:beforeAutospacing="0" w:after="0" w:afterAutospacing="0"/>
        <w:rPr>
          <w:color w:val="000000" w:themeColor="text1"/>
          <w:sz w:val="28"/>
          <w:szCs w:val="28"/>
          <w:highlight w:val="white"/>
        </w:rPr>
      </w:pPr>
      <w:r>
        <w:rPr>
          <w:color w:val="000000" w:themeColor="text1"/>
          <w:sz w:val="28"/>
          <w:szCs w:val="28"/>
          <w:highlight w:val="white"/>
        </w:rPr>
        <w:t xml:space="preserve">В 2023 годах в Новосибирском районе наблюдается существенный рост объема </w:t>
      </w:r>
      <w:r>
        <w:rPr>
          <w:color w:val="000000" w:themeColor="text1"/>
          <w:sz w:val="28"/>
          <w:szCs w:val="28"/>
          <w:highlight w:val="white"/>
        </w:rPr>
        <w:t xml:space="preserve">работ, выполненных по виду деятельности «Строительство» – </w:t>
      </w:r>
      <w:r>
        <w:rPr>
          <w:color w:val="000000" w:themeColor="text1"/>
          <w:sz w:val="28"/>
          <w:szCs w:val="28"/>
          <w:highlight w:val="white"/>
        </w:rPr>
        <w:t xml:space="preserve">137,7</w:t>
      </w:r>
      <w:r>
        <w:rPr>
          <w:color w:val="000000" w:themeColor="text1"/>
          <w:sz w:val="28"/>
          <w:szCs w:val="28"/>
          <w:highlight w:val="white"/>
        </w:rPr>
        <w:t xml:space="preserve"> % в сопоставимых ценах к уровню 2022 года, что в действующих ценах составляет </w:t>
      </w:r>
      <w:r>
        <w:rPr>
          <w:color w:val="000000" w:themeColor="text1"/>
          <w:sz w:val="28"/>
          <w:szCs w:val="28"/>
          <w:highlight w:val="white"/>
        </w:rPr>
        <w:br/>
      </w:r>
      <w:r>
        <w:rPr>
          <w:color w:val="000000" w:themeColor="text1"/>
          <w:sz w:val="28"/>
          <w:szCs w:val="28"/>
          <w:highlight w:val="white"/>
        </w:rPr>
        <w:t xml:space="preserve">31,4</w:t>
      </w:r>
      <w:r>
        <w:rPr>
          <w:color w:val="000000" w:themeColor="text1"/>
          <w:sz w:val="28"/>
          <w:szCs w:val="28"/>
          <w:highlight w:val="white"/>
        </w:rPr>
        <w:t xml:space="preserve"> млрд рублей.</w:t>
      </w:r>
      <w:r>
        <w:rPr>
          <w:color w:val="000000" w:themeColor="text1"/>
          <w:sz w:val="28"/>
          <w:szCs w:val="28"/>
          <w:highlight w:val="white"/>
        </w:rPr>
      </w:r>
      <w:r>
        <w:rPr>
          <w:color w:val="000000" w:themeColor="text1"/>
          <w:sz w:val="28"/>
          <w:szCs w:val="28"/>
          <w:highlight w:val="white"/>
        </w:rPr>
      </w:r>
    </w:p>
    <w:p>
      <w:pPr>
        <w:pStyle w:val="982"/>
        <w:ind w:left="0" w:firstLine="709"/>
        <w:jc w:val="both"/>
        <w:spacing w:after="0"/>
        <w:rPr>
          <w:sz w:val="28"/>
          <w:szCs w:val="28"/>
          <w:highlight w:val="white"/>
        </w:rPr>
      </w:pPr>
      <w:r>
        <w:rPr>
          <w:sz w:val="28"/>
          <w:highlight w:val="white"/>
        </w:rPr>
        <w:t xml:space="preserve">Доля вводимой площади жилых помещений в районе в общем объеме введенного жилья в области, ежегодно растет. В 2023 году доля Новосибирского района составила более 27 %, по итогам 2022 года –24 %</w:t>
      </w:r>
      <w:r>
        <w:rPr>
          <w:sz w:val="28"/>
          <w:highlight w:val="white"/>
        </w:rPr>
        <w:t xml:space="preserve">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left="-142" w:firstLine="709"/>
        <w:jc w:val="both"/>
        <w:tabs>
          <w:tab w:val="left" w:pos="567" w:leader="none"/>
          <w:tab w:val="left" w:pos="9498" w:leader="none"/>
          <w:tab w:val="left" w:pos="10206" w:leader="none"/>
        </w:tabs>
        <w:rPr>
          <w:sz w:val="28"/>
          <w:szCs w:val="28"/>
          <w:highlight w:val="white"/>
        </w:rPr>
      </w:pPr>
      <w:r>
        <w:rPr>
          <w:sz w:val="28"/>
          <w:highlight w:val="white"/>
        </w:rPr>
        <w:t xml:space="preserve">В 2023 году на территории района введено </w:t>
      </w:r>
      <w:r>
        <w:rPr>
          <w:sz w:val="28"/>
          <w:highlight w:val="white"/>
        </w:rPr>
        <w:t xml:space="preserve">721 тыс. </w:t>
      </w:r>
      <w:r>
        <w:rPr>
          <w:sz w:val="28"/>
          <w:highlight w:val="white"/>
        </w:rPr>
        <w:t xml:space="preserve">кв.м</w:t>
      </w:r>
      <w:r>
        <w:rPr>
          <w:sz w:val="28"/>
          <w:highlight w:val="white"/>
        </w:rPr>
        <w:t xml:space="preserve"> объектов жилого назначения</w:t>
      </w:r>
      <w:r>
        <w:rPr>
          <w:sz w:val="28"/>
          <w:highlight w:val="white"/>
        </w:rPr>
        <w:t xml:space="preserve">, темп роста к 2022 году – </w:t>
      </w:r>
      <w:r>
        <w:rPr>
          <w:sz w:val="28"/>
          <w:highlight w:val="white"/>
        </w:rPr>
        <w:t xml:space="preserve">140,5%</w:t>
      </w:r>
      <w:r>
        <w:rPr>
          <w:sz w:val="28"/>
          <w:highlight w:val="white"/>
        </w:rPr>
        <w:t xml:space="preserve"> (для сравнения: в 2022 году – 513 тыс. </w:t>
      </w:r>
      <w:r>
        <w:rPr>
          <w:sz w:val="28"/>
          <w:highlight w:val="white"/>
        </w:rPr>
        <w:t xml:space="preserve">кв.м</w:t>
      </w:r>
      <w:r>
        <w:rPr>
          <w:sz w:val="28"/>
          <w:highlight w:val="white"/>
        </w:rPr>
        <w:t xml:space="preserve">). Всего за отчетный период введено около 3000 объектов жилых объектов.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pStyle w:val="982"/>
        <w:ind w:left="0" w:firstLine="709"/>
        <w:jc w:val="both"/>
        <w:spacing w:after="0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На территории Новосибирского района Новосибирской области наиболее крупными застройщиками являются:</w:t>
      </w:r>
      <w:r>
        <w:rPr>
          <w:sz w:val="28"/>
          <w:szCs w:val="28"/>
          <w:highlight w:val="white"/>
        </w:rPr>
        <w:t xml:space="preserve"> ООО «</w:t>
      </w:r>
      <w:r>
        <w:rPr>
          <w:sz w:val="28"/>
          <w:szCs w:val="28"/>
          <w:highlight w:val="white"/>
        </w:rPr>
        <w:t xml:space="preserve">Энергомонтаж</w:t>
      </w:r>
      <w:r>
        <w:rPr>
          <w:sz w:val="28"/>
          <w:szCs w:val="28"/>
          <w:highlight w:val="white"/>
        </w:rPr>
        <w:t xml:space="preserve">», </w:t>
      </w:r>
      <w:r>
        <w:rPr>
          <w:sz w:val="28"/>
          <w:szCs w:val="28"/>
          <w:highlight w:val="white"/>
        </w:rPr>
        <w:t xml:space="preserve">ООО  «</w:t>
      </w:r>
      <w:r>
        <w:rPr>
          <w:sz w:val="28"/>
          <w:szCs w:val="28"/>
          <w:highlight w:val="white"/>
        </w:rPr>
        <w:t xml:space="preserve">Специализированный застройщик КПД-</w:t>
      </w:r>
      <w:r>
        <w:rPr>
          <w:sz w:val="28"/>
          <w:szCs w:val="28"/>
          <w:highlight w:val="white"/>
        </w:rPr>
        <w:t xml:space="preserve">Газстрой</w:t>
      </w:r>
      <w:r>
        <w:rPr>
          <w:sz w:val="28"/>
          <w:szCs w:val="28"/>
          <w:highlight w:val="white"/>
        </w:rPr>
        <w:t xml:space="preserve"> Сити», ООО «Жилищная инициатива», ООО «Пригородный простор», ООО «</w:t>
      </w:r>
      <w:r>
        <w:rPr>
          <w:sz w:val="28"/>
          <w:szCs w:val="28"/>
          <w:highlight w:val="white"/>
        </w:rPr>
        <w:t xml:space="preserve">Гелеон</w:t>
      </w:r>
      <w:r>
        <w:rPr>
          <w:sz w:val="28"/>
          <w:szCs w:val="28"/>
          <w:highlight w:val="white"/>
        </w:rPr>
        <w:t xml:space="preserve"> Строй», ООО  Специализированный застройщик «</w:t>
      </w:r>
      <w:r>
        <w:rPr>
          <w:sz w:val="28"/>
          <w:szCs w:val="28"/>
          <w:highlight w:val="white"/>
        </w:rPr>
        <w:t xml:space="preserve">Академ</w:t>
      </w:r>
      <w:r>
        <w:rPr>
          <w:sz w:val="28"/>
          <w:szCs w:val="28"/>
          <w:highlight w:val="white"/>
        </w:rPr>
        <w:t xml:space="preserve">-Развитие», ООО «Дар», ООО  «Специализированный застройщик «Магнолия», ООО «Специализированный застройщик «Антей».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pStyle w:val="982"/>
        <w:ind w:left="0" w:firstLine="709"/>
        <w:jc w:val="both"/>
        <w:spacing w:after="0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Наиболее активное строительство многоквартирного жилищного строительства, а </w:t>
      </w:r>
      <w:r>
        <w:rPr>
          <w:sz w:val="28"/>
          <w:szCs w:val="28"/>
          <w:highlight w:val="white"/>
        </w:rPr>
        <w:t xml:space="preserve">так же</w:t>
      </w:r>
      <w:r>
        <w:rPr>
          <w:sz w:val="28"/>
          <w:szCs w:val="28"/>
          <w:highlight w:val="white"/>
        </w:rPr>
        <w:t xml:space="preserve"> объектов индивидуального жилищного строительства на территории Новосибирского района осуществляется в Станционном, </w:t>
      </w:r>
      <w:r>
        <w:rPr>
          <w:sz w:val="28"/>
          <w:szCs w:val="28"/>
          <w:highlight w:val="white"/>
        </w:rPr>
        <w:t xml:space="preserve">Толмачевском</w:t>
      </w:r>
      <w:r>
        <w:rPr>
          <w:sz w:val="28"/>
          <w:szCs w:val="28"/>
          <w:highlight w:val="white"/>
        </w:rPr>
        <w:t xml:space="preserve">, </w:t>
      </w:r>
      <w:r>
        <w:rPr>
          <w:sz w:val="28"/>
          <w:szCs w:val="28"/>
          <w:highlight w:val="white"/>
        </w:rPr>
        <w:t xml:space="preserve">Мочищенском</w:t>
      </w:r>
      <w:r>
        <w:rPr>
          <w:sz w:val="28"/>
          <w:szCs w:val="28"/>
          <w:highlight w:val="white"/>
        </w:rPr>
        <w:t xml:space="preserve">, Каменском, </w:t>
      </w:r>
      <w:r>
        <w:rPr>
          <w:sz w:val="28"/>
          <w:szCs w:val="28"/>
          <w:highlight w:val="white"/>
        </w:rPr>
        <w:t xml:space="preserve">Барышевском</w:t>
      </w:r>
      <w:r>
        <w:rPr>
          <w:sz w:val="28"/>
          <w:szCs w:val="28"/>
          <w:highlight w:val="white"/>
        </w:rPr>
        <w:t xml:space="preserve"> и Мичуринском сельсоветах.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pStyle w:val="982"/>
        <w:ind w:left="0" w:firstLine="709"/>
        <w:jc w:val="both"/>
        <w:spacing w:after="0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  <w:lang w:eastAsia="ru-RU"/>
        </w:rPr>
        <w:t xml:space="preserve">В Новосибирском районе сформировано и осваивается 24 площадки комплексного жилищного строительства в </w:t>
      </w:r>
      <w:r>
        <w:rPr>
          <w:sz w:val="28"/>
          <w:szCs w:val="28"/>
          <w:highlight w:val="white"/>
          <w:lang w:eastAsia="ru-RU"/>
        </w:rPr>
        <w:t xml:space="preserve">Барышевском</w:t>
      </w:r>
      <w:r>
        <w:rPr>
          <w:sz w:val="28"/>
          <w:szCs w:val="28"/>
          <w:highlight w:val="white"/>
          <w:lang w:eastAsia="ru-RU"/>
        </w:rPr>
        <w:t xml:space="preserve">, </w:t>
      </w:r>
      <w:r>
        <w:rPr>
          <w:sz w:val="28"/>
          <w:szCs w:val="28"/>
          <w:highlight w:val="white"/>
          <w:lang w:eastAsia="ru-RU"/>
        </w:rPr>
        <w:t xml:space="preserve">Толмачевском</w:t>
      </w:r>
      <w:r>
        <w:rPr>
          <w:sz w:val="28"/>
          <w:szCs w:val="28"/>
          <w:highlight w:val="white"/>
          <w:lang w:eastAsia="ru-RU"/>
        </w:rPr>
        <w:t xml:space="preserve">, Верх-</w:t>
      </w:r>
      <w:r>
        <w:rPr>
          <w:sz w:val="28"/>
          <w:szCs w:val="28"/>
          <w:highlight w:val="white"/>
          <w:lang w:eastAsia="ru-RU"/>
        </w:rPr>
        <w:t xml:space="preserve">Тулинском</w:t>
      </w:r>
      <w:r>
        <w:rPr>
          <w:sz w:val="28"/>
          <w:szCs w:val="28"/>
          <w:highlight w:val="white"/>
          <w:lang w:eastAsia="ru-RU"/>
        </w:rPr>
        <w:t xml:space="preserve">, Каменском, Мичуринском, </w:t>
      </w:r>
      <w:r>
        <w:rPr>
          <w:sz w:val="28"/>
          <w:szCs w:val="28"/>
          <w:highlight w:val="white"/>
          <w:lang w:eastAsia="ru-RU"/>
        </w:rPr>
        <w:t xml:space="preserve">Новолуговском</w:t>
      </w:r>
      <w:r>
        <w:rPr>
          <w:sz w:val="28"/>
          <w:szCs w:val="28"/>
          <w:highlight w:val="white"/>
          <w:lang w:eastAsia="ru-RU"/>
        </w:rPr>
        <w:t xml:space="preserve">, Станционном, </w:t>
      </w:r>
      <w:r>
        <w:rPr>
          <w:sz w:val="28"/>
          <w:szCs w:val="28"/>
          <w:highlight w:val="white"/>
          <w:lang w:eastAsia="ru-RU"/>
        </w:rPr>
        <w:t xml:space="preserve">Мочищенском</w:t>
      </w:r>
      <w:r>
        <w:rPr>
          <w:sz w:val="28"/>
          <w:szCs w:val="28"/>
          <w:highlight w:val="white"/>
          <w:lang w:eastAsia="ru-RU"/>
        </w:rPr>
        <w:t xml:space="preserve"> сельсоветах и </w:t>
      </w:r>
      <w:r>
        <w:rPr>
          <w:sz w:val="28"/>
          <w:szCs w:val="28"/>
          <w:highlight w:val="white"/>
          <w:lang w:eastAsia="ru-RU"/>
        </w:rPr>
        <w:t xml:space="preserve">р.п</w:t>
      </w:r>
      <w:r>
        <w:rPr>
          <w:sz w:val="28"/>
          <w:szCs w:val="28"/>
          <w:highlight w:val="white"/>
          <w:lang w:eastAsia="ru-RU"/>
        </w:rPr>
        <w:t xml:space="preserve">. </w:t>
      </w:r>
      <w:r>
        <w:rPr>
          <w:sz w:val="28"/>
          <w:szCs w:val="28"/>
          <w:highlight w:val="white"/>
          <w:lang w:eastAsia="ru-RU"/>
        </w:rPr>
        <w:t xml:space="preserve">Краснообск</w:t>
      </w:r>
      <w:r>
        <w:rPr>
          <w:sz w:val="28"/>
          <w:szCs w:val="28"/>
          <w:highlight w:val="white"/>
          <w:lang w:eastAsia="ru-RU"/>
        </w:rPr>
        <w:t xml:space="preserve">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left="-142" w:firstLine="709"/>
        <w:jc w:val="both"/>
        <w:tabs>
          <w:tab w:val="left" w:pos="567" w:leader="none"/>
          <w:tab w:val="left" w:pos="9498" w:leader="none"/>
          <w:tab w:val="left" w:pos="10206" w:leader="none"/>
        </w:tabs>
        <w:rPr>
          <w:sz w:val="28"/>
          <w:highlight w:val="white"/>
        </w:rPr>
      </w:pPr>
      <w:r>
        <w:rPr>
          <w:sz w:val="28"/>
          <w:highlight w:val="white"/>
        </w:rPr>
        <w:t xml:space="preserve">В 2023 году на территории района в рамках реализации регионального проекта «Современная школа» </w:t>
      </w:r>
      <w:r>
        <w:rPr>
          <w:sz w:val="28"/>
          <w:highlight w:val="white"/>
        </w:rPr>
        <w:t xml:space="preserve">национального проекта «Образование», Регионального проекта «Модернизация первичного звена здравоохранения Новосибирской области на 2021-2025 годы» и регионального про</w:t>
      </w:r>
      <w:r>
        <w:rPr>
          <w:sz w:val="28"/>
          <w:highlight w:val="white"/>
        </w:rPr>
        <w:t xml:space="preserve">екта «Развитие системы оказания первичной медико-санитарной помощи» национального проекта </w:t>
      </w:r>
      <w:r>
        <w:rPr>
          <w:sz w:val="28"/>
          <w:highlight w:val="white"/>
        </w:rPr>
        <w:t xml:space="preserve">«Здравоохранение» осуществлялось строительство </w:t>
      </w:r>
      <w:r>
        <w:rPr>
          <w:sz w:val="28"/>
          <w:highlight w:val="white"/>
        </w:rPr>
        <w:t xml:space="preserve">(реконструкция)</w:t>
      </w:r>
      <w:r>
        <w:rPr>
          <w:sz w:val="28"/>
          <w:highlight w:val="white"/>
        </w:rPr>
        <w:t xml:space="preserve"> 26 социальных объектов, из них: 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left="-142" w:firstLine="709"/>
        <w:jc w:val="both"/>
        <w:tabs>
          <w:tab w:val="left" w:pos="567" w:leader="none"/>
          <w:tab w:val="left" w:pos="9498" w:leader="none"/>
          <w:tab w:val="left" w:pos="10206" w:leader="none"/>
        </w:tabs>
        <w:rPr>
          <w:sz w:val="28"/>
          <w:highlight w:val="white"/>
        </w:rPr>
      </w:pPr>
      <w:r>
        <w:rPr>
          <w:sz w:val="28"/>
          <w:highlight w:val="white"/>
        </w:rPr>
        <w:t xml:space="preserve">1) завершено строительство </w:t>
      </w:r>
      <w:r>
        <w:rPr>
          <w:sz w:val="28"/>
          <w:highlight w:val="white"/>
        </w:rPr>
        <w:t xml:space="preserve">13</w:t>
      </w:r>
      <w:r>
        <w:rPr>
          <w:sz w:val="28"/>
          <w:highlight w:val="white"/>
        </w:rPr>
        <w:t xml:space="preserve"> объектов: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left="-142" w:firstLine="709"/>
        <w:jc w:val="both"/>
        <w:tabs>
          <w:tab w:val="left" w:pos="567" w:leader="none"/>
          <w:tab w:val="left" w:pos="9498" w:leader="none"/>
          <w:tab w:val="left" w:pos="10206" w:leader="none"/>
        </w:tabs>
        <w:rPr>
          <w:sz w:val="28"/>
          <w:szCs w:val="28"/>
          <w:highlight w:val="white"/>
        </w:rPr>
      </w:pPr>
      <w:r>
        <w:rPr>
          <w:sz w:val="28"/>
          <w:highlight w:val="white"/>
        </w:rPr>
        <w:t xml:space="preserve">-</w:t>
      </w:r>
      <w:r>
        <w:rPr>
          <w:sz w:val="28"/>
          <w:highlight w:val="white"/>
        </w:rPr>
        <w:t xml:space="preserve"> здания поликлиники смешанного типа мощностью 750 посещений в смену (п/см) с детским отделением 250 п/см в р. п. </w:t>
      </w:r>
      <w:r>
        <w:rPr>
          <w:sz w:val="28"/>
          <w:highlight w:val="white"/>
        </w:rPr>
        <w:t xml:space="preserve">Краснообск</w:t>
      </w:r>
      <w:r>
        <w:rPr>
          <w:sz w:val="28"/>
          <w:highlight w:val="white"/>
        </w:rPr>
        <w:t xml:space="preserve">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left="-142" w:firstLine="709"/>
        <w:jc w:val="both"/>
        <w:tabs>
          <w:tab w:val="left" w:pos="567" w:leader="none"/>
          <w:tab w:val="left" w:pos="9498" w:leader="none"/>
          <w:tab w:val="left" w:pos="10206" w:leader="none"/>
        </w:tabs>
        <w:rPr>
          <w:sz w:val="28"/>
          <w:szCs w:val="28"/>
          <w:highlight w:val="white"/>
        </w:rPr>
      </w:pPr>
      <w:r>
        <w:rPr>
          <w:sz w:val="28"/>
          <w:highlight w:val="white"/>
        </w:rPr>
        <w:t xml:space="preserve">-</w:t>
      </w:r>
      <w:r>
        <w:rPr>
          <w:sz w:val="28"/>
          <w:highlight w:val="white"/>
        </w:rPr>
        <w:t xml:space="preserve"> здания поликлинического </w:t>
      </w:r>
      <w:r>
        <w:rPr>
          <w:color w:val="000000" w:themeColor="text1"/>
          <w:sz w:val="28"/>
          <w:highlight w:val="white"/>
        </w:rPr>
        <w:t xml:space="preserve">отделения</w:t>
      </w:r>
      <w:r>
        <w:rPr>
          <w:sz w:val="28"/>
          <w:highlight w:val="white"/>
        </w:rPr>
        <w:t xml:space="preserve">, мощностью 100 п/см в микрорайоне «Олимпийская слава» п. Восход</w:t>
      </w:r>
      <w:r>
        <w:rPr>
          <w:sz w:val="28"/>
          <w:highlight w:val="white"/>
        </w:rPr>
        <w:t xml:space="preserve">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left="-142" w:firstLine="709"/>
        <w:jc w:val="both"/>
        <w:tabs>
          <w:tab w:val="left" w:pos="567" w:leader="none"/>
          <w:tab w:val="left" w:pos="9498" w:leader="none"/>
          <w:tab w:val="left" w:pos="10206" w:leader="none"/>
        </w:tabs>
        <w:rPr>
          <w:sz w:val="28"/>
          <w:szCs w:val="28"/>
          <w:highlight w:val="white"/>
        </w:rPr>
      </w:pPr>
      <w:r>
        <w:rPr>
          <w:sz w:val="28"/>
          <w:highlight w:val="white"/>
        </w:rPr>
        <w:t xml:space="preserve">- 2-х зданий врачебных амбулаторий мощностью 150 п/см в с. Каменка и в </w:t>
      </w:r>
      <w:r>
        <w:rPr>
          <w:sz w:val="28"/>
          <w:highlight w:val="white"/>
        </w:rPr>
        <w:br/>
        <w:t xml:space="preserve">с. </w:t>
      </w:r>
      <w:r>
        <w:rPr>
          <w:sz w:val="28"/>
          <w:highlight w:val="white"/>
        </w:rPr>
        <w:t xml:space="preserve">Новолуговое</w:t>
      </w:r>
      <w:r>
        <w:rPr>
          <w:sz w:val="28"/>
          <w:highlight w:val="white"/>
        </w:rPr>
        <w:t xml:space="preserve">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left="-142" w:firstLine="709"/>
        <w:jc w:val="both"/>
        <w:tabs>
          <w:tab w:val="left" w:pos="567" w:leader="none"/>
          <w:tab w:val="left" w:pos="9498" w:leader="none"/>
          <w:tab w:val="left" w:pos="10206" w:leader="none"/>
        </w:tabs>
        <w:rPr>
          <w:sz w:val="28"/>
          <w:szCs w:val="28"/>
          <w:highlight w:val="white"/>
        </w:rPr>
      </w:pPr>
      <w:r>
        <w:rPr>
          <w:sz w:val="28"/>
          <w:highlight w:val="white"/>
        </w:rPr>
        <w:t xml:space="preserve">- 2-х зданий врачебных амбулаторий мощностью 100 п/см в </w:t>
      </w:r>
      <w:r>
        <w:rPr>
          <w:sz w:val="28"/>
          <w:highlight w:val="white"/>
        </w:rPr>
        <w:t xml:space="preserve">д.п</w:t>
      </w:r>
      <w:r>
        <w:rPr>
          <w:sz w:val="28"/>
          <w:highlight w:val="white"/>
        </w:rPr>
        <w:t xml:space="preserve">. </w:t>
      </w:r>
      <w:r>
        <w:rPr>
          <w:sz w:val="28"/>
          <w:highlight w:val="white"/>
        </w:rPr>
        <w:t xml:space="preserve">Кудряшовский</w:t>
      </w:r>
      <w:r>
        <w:rPr>
          <w:sz w:val="28"/>
          <w:highlight w:val="white"/>
        </w:rPr>
        <w:t xml:space="preserve"> и п. Мичуринский</w:t>
      </w:r>
      <w:r>
        <w:rPr>
          <w:sz w:val="28"/>
        </w:rPr>
        <w:t xml:space="preserve">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left="-142" w:firstLine="709"/>
        <w:jc w:val="both"/>
        <w:tabs>
          <w:tab w:val="left" w:pos="567" w:leader="none"/>
          <w:tab w:val="left" w:pos="9498" w:leader="none"/>
          <w:tab w:val="left" w:pos="10206" w:leader="none"/>
        </w:tabs>
        <w:rPr>
          <w:sz w:val="28"/>
          <w:szCs w:val="28"/>
        </w:rPr>
      </w:pPr>
      <w:r>
        <w:rPr>
          <w:sz w:val="28"/>
          <w:highlight w:val="white"/>
        </w:rPr>
        <w:t xml:space="preserve">- 3-х врачебных амбулаторий мощностью 50 п/см в п. </w:t>
      </w:r>
      <w:r>
        <w:rPr>
          <w:sz w:val="28"/>
          <w:highlight w:val="white"/>
        </w:rPr>
        <w:t xml:space="preserve">Тулинский</w:t>
      </w:r>
      <w:r>
        <w:rPr>
          <w:sz w:val="28"/>
          <w:highlight w:val="white"/>
        </w:rPr>
        <w:t xml:space="preserve">, п. Ложок и п. Садовый;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-142" w:firstLine="709"/>
        <w:jc w:val="both"/>
        <w:tabs>
          <w:tab w:val="left" w:pos="567" w:leader="none"/>
          <w:tab w:val="left" w:pos="9498" w:leader="none"/>
          <w:tab w:val="left" w:pos="10206" w:leader="none"/>
        </w:tabs>
        <w:rPr>
          <w:sz w:val="28"/>
          <w:szCs w:val="28"/>
          <w:highlight w:val="white"/>
        </w:rPr>
      </w:pPr>
      <w:r>
        <w:rPr>
          <w:sz w:val="28"/>
          <w:highlight w:val="white"/>
        </w:rPr>
        <w:t xml:space="preserve">- 2-х зданий фельдшерско-акушерс</w:t>
      </w:r>
      <w:r>
        <w:rPr>
          <w:sz w:val="28"/>
          <w:highlight w:val="white"/>
        </w:rPr>
        <w:t xml:space="preserve">ких пунктов в п. Советский и в с. Быково;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left="-142" w:firstLine="709"/>
        <w:jc w:val="both"/>
        <w:tabs>
          <w:tab w:val="left" w:pos="567" w:leader="none"/>
          <w:tab w:val="left" w:pos="9498" w:leader="none"/>
          <w:tab w:val="left" w:pos="10206" w:leader="none"/>
        </w:tabs>
        <w:rPr>
          <w:sz w:val="28"/>
          <w:szCs w:val="28"/>
          <w:highlight w:val="white"/>
        </w:rPr>
      </w:pPr>
      <w:r>
        <w:rPr>
          <w:sz w:val="28"/>
          <w:highlight w:val="white"/>
        </w:rPr>
        <w:t xml:space="preserve">-</w:t>
      </w:r>
      <w:r>
        <w:rPr>
          <w:sz w:val="28"/>
          <w:highlight w:val="white"/>
        </w:rPr>
        <w:t xml:space="preserve"> реконструкция Дома культуры на 200 посадочных мест в </w:t>
      </w:r>
      <w:r>
        <w:rPr>
          <w:sz w:val="28"/>
          <w:highlight w:val="white"/>
        </w:rPr>
        <w:t xml:space="preserve">с.Ленинское</w:t>
      </w:r>
      <w:r>
        <w:rPr>
          <w:sz w:val="28"/>
          <w:highlight w:val="white"/>
        </w:rPr>
        <w:t xml:space="preserve"> (1 этап строительства);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left="-142" w:firstLine="709"/>
        <w:jc w:val="both"/>
        <w:tabs>
          <w:tab w:val="left" w:pos="567" w:leader="none"/>
          <w:tab w:val="left" w:pos="9498" w:leader="none"/>
          <w:tab w:val="left" w:pos="10206" w:leader="none"/>
        </w:tabs>
        <w:rPr>
          <w:sz w:val="28"/>
          <w:szCs w:val="28"/>
          <w:highlight w:val="white"/>
        </w:rPr>
      </w:pPr>
      <w:r>
        <w:rPr>
          <w:sz w:val="28"/>
          <w:highlight w:val="white"/>
        </w:rPr>
        <w:t xml:space="preserve">- реконструкция Дома культуры в п. Элитный (1 этап, пристройка индивидуального теплового пункта</w:t>
      </w:r>
      <w:r>
        <w:rPr>
          <w:sz w:val="28"/>
          <w:highlight w:val="white"/>
        </w:rPr>
        <w:t xml:space="preserve">) </w:t>
      </w:r>
      <w:r>
        <w:rPr>
          <w:sz w:val="28"/>
          <w:highlight w:val="white"/>
        </w:rPr>
        <w:t xml:space="preserve">.</w:t>
      </w:r>
      <w:r>
        <w:rPr>
          <w:sz w:val="28"/>
          <w:highlight w:val="white"/>
        </w:rPr>
        <w:t xml:space="preserve"> 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left="-142" w:firstLine="709"/>
        <w:jc w:val="both"/>
        <w:tabs>
          <w:tab w:val="left" w:pos="567" w:leader="none"/>
          <w:tab w:val="left" w:pos="9498" w:leader="none"/>
          <w:tab w:val="left" w:pos="10206" w:leader="none"/>
        </w:tabs>
        <w:rPr>
          <w:sz w:val="28"/>
          <w:szCs w:val="28"/>
          <w:highlight w:val="white"/>
        </w:rPr>
      </w:pPr>
      <w:r>
        <w:rPr>
          <w:sz w:val="28"/>
          <w:highlight w:val="white"/>
        </w:rPr>
        <w:t xml:space="preserve">2) переходящими на 2024 год стали следующие </w:t>
      </w:r>
      <w:r>
        <w:rPr>
          <w:sz w:val="28"/>
          <w:highlight w:val="white"/>
        </w:rPr>
        <w:t xml:space="preserve">13</w:t>
      </w:r>
      <w:r>
        <w:rPr>
          <w:sz w:val="28"/>
          <w:highlight w:val="white"/>
        </w:rPr>
        <w:t xml:space="preserve"> объектов: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left="-142" w:firstLine="709"/>
        <w:jc w:val="both"/>
        <w:tabs>
          <w:tab w:val="left" w:pos="567" w:leader="none"/>
          <w:tab w:val="left" w:pos="9498" w:leader="none"/>
          <w:tab w:val="left" w:pos="10206" w:leader="none"/>
        </w:tabs>
        <w:rPr>
          <w:sz w:val="28"/>
          <w:szCs w:val="28"/>
          <w:highlight w:val="white"/>
        </w:rPr>
      </w:pPr>
      <w:r>
        <w:rPr>
          <w:sz w:val="28"/>
          <w:highlight w:val="white"/>
        </w:rPr>
        <w:t xml:space="preserve">- капитальный ремонт ДК </w:t>
      </w:r>
      <w:r>
        <w:rPr>
          <w:sz w:val="28"/>
          <w:highlight w:val="white"/>
        </w:rPr>
        <w:t xml:space="preserve">с.Сосновка</w:t>
      </w:r>
      <w:r>
        <w:rPr>
          <w:sz w:val="28"/>
          <w:highlight w:val="white"/>
        </w:rPr>
        <w:t xml:space="preserve">, </w:t>
      </w:r>
      <w:r>
        <w:rPr>
          <w:color w:val="000000" w:themeColor="text1"/>
          <w:sz w:val="28"/>
          <w:highlight w:val="white"/>
        </w:rPr>
        <w:t xml:space="preserve">с.Боровое</w:t>
      </w:r>
      <w:r>
        <w:rPr>
          <w:color w:val="000000" w:themeColor="text1"/>
          <w:sz w:val="28"/>
          <w:highlight w:val="white"/>
        </w:rPr>
        <w:t xml:space="preserve">, </w:t>
      </w:r>
      <w:r>
        <w:rPr>
          <w:sz w:val="28"/>
          <w:highlight w:val="white"/>
        </w:rPr>
        <w:t xml:space="preserve">с.Береговое</w:t>
      </w:r>
      <w:r>
        <w:rPr>
          <w:sz w:val="28"/>
          <w:highlight w:val="white"/>
        </w:rPr>
        <w:t xml:space="preserve">, </w:t>
      </w:r>
      <w:r>
        <w:rPr>
          <w:sz w:val="28"/>
          <w:highlight w:val="white"/>
        </w:rPr>
        <w:t xml:space="preserve">д.Издревая</w:t>
      </w:r>
      <w:r>
        <w:rPr>
          <w:sz w:val="28"/>
          <w:highlight w:val="white"/>
        </w:rPr>
        <w:t xml:space="preserve">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left="-142" w:firstLine="709"/>
        <w:jc w:val="both"/>
        <w:tabs>
          <w:tab w:val="left" w:pos="567" w:leader="none"/>
          <w:tab w:val="left" w:pos="9498" w:leader="none"/>
          <w:tab w:val="left" w:pos="10206" w:leader="none"/>
        </w:tabs>
        <w:rPr>
          <w:sz w:val="28"/>
          <w:szCs w:val="28"/>
          <w:highlight w:val="white"/>
        </w:rPr>
      </w:pPr>
      <w:r>
        <w:rPr>
          <w:sz w:val="28"/>
          <w:highlight w:val="white"/>
        </w:rPr>
        <w:t xml:space="preserve">- </w:t>
      </w:r>
      <w:r>
        <w:rPr>
          <w:sz w:val="28"/>
          <w:szCs w:val="28"/>
          <w:highlight w:val="white"/>
        </w:rPr>
        <w:t xml:space="preserve">строительство «умной» спортивной площадки в </w:t>
      </w:r>
      <w:r>
        <w:rPr>
          <w:sz w:val="28"/>
          <w:szCs w:val="28"/>
          <w:highlight w:val="white"/>
        </w:rPr>
        <w:t xml:space="preserve">р.п</w:t>
      </w:r>
      <w:r>
        <w:rPr>
          <w:sz w:val="28"/>
          <w:szCs w:val="28"/>
          <w:highlight w:val="white"/>
        </w:rPr>
        <w:t xml:space="preserve">. </w:t>
      </w:r>
      <w:r>
        <w:rPr>
          <w:sz w:val="28"/>
          <w:szCs w:val="28"/>
          <w:highlight w:val="white"/>
        </w:rPr>
        <w:t xml:space="preserve">Краснообск</w:t>
      </w:r>
      <w:r>
        <w:rPr>
          <w:sz w:val="28"/>
          <w:szCs w:val="28"/>
          <w:highlight w:val="white"/>
        </w:rPr>
        <w:t xml:space="preserve">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jc w:val="both"/>
        <w:tabs>
          <w:tab w:val="left" w:pos="567" w:leader="none"/>
          <w:tab w:val="left" w:pos="9498" w:leader="none"/>
          <w:tab w:val="left" w:pos="10206" w:leader="none"/>
        </w:tabs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ab/>
      </w:r>
      <w:r>
        <w:rPr>
          <w:sz w:val="28"/>
          <w:szCs w:val="28"/>
          <w:highlight w:val="white"/>
        </w:rPr>
        <w:t xml:space="preserve">- строительство лыжных баз в </w:t>
      </w:r>
      <w:r>
        <w:rPr>
          <w:sz w:val="28"/>
          <w:szCs w:val="28"/>
          <w:highlight w:val="white"/>
        </w:rPr>
        <w:t xml:space="preserve">р.п</w:t>
      </w:r>
      <w:r>
        <w:rPr>
          <w:sz w:val="28"/>
          <w:szCs w:val="28"/>
          <w:highlight w:val="white"/>
        </w:rPr>
        <w:t xml:space="preserve">. </w:t>
      </w:r>
      <w:r>
        <w:rPr>
          <w:sz w:val="28"/>
          <w:szCs w:val="28"/>
          <w:highlight w:val="white"/>
        </w:rPr>
        <w:t xml:space="preserve">Краснообск</w:t>
      </w:r>
      <w:r>
        <w:rPr>
          <w:sz w:val="28"/>
          <w:szCs w:val="28"/>
          <w:highlight w:val="white"/>
        </w:rPr>
        <w:t xml:space="preserve"> и в </w:t>
      </w:r>
      <w:r>
        <w:rPr>
          <w:sz w:val="28"/>
          <w:szCs w:val="28"/>
          <w:highlight w:val="white"/>
        </w:rPr>
        <w:t xml:space="preserve">с.Верх</w:t>
      </w:r>
      <w:r>
        <w:rPr>
          <w:sz w:val="28"/>
          <w:szCs w:val="28"/>
          <w:highlight w:val="white"/>
        </w:rPr>
        <w:t xml:space="preserve">-Тула;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left="-142" w:firstLine="709"/>
        <w:jc w:val="both"/>
        <w:tabs>
          <w:tab w:val="left" w:pos="567" w:leader="none"/>
          <w:tab w:val="left" w:pos="9498" w:leader="none"/>
          <w:tab w:val="left" w:pos="10206" w:leader="none"/>
        </w:tabs>
        <w:rPr>
          <w:sz w:val="28"/>
          <w:szCs w:val="28"/>
          <w:highlight w:val="white"/>
        </w:rPr>
      </w:pPr>
      <w:r>
        <w:rPr>
          <w:sz w:val="28"/>
          <w:highlight w:val="white"/>
        </w:rPr>
        <w:t xml:space="preserve">- строительство зданий </w:t>
      </w:r>
      <w:r>
        <w:rPr>
          <w:sz w:val="28"/>
          <w:highlight w:val="white"/>
        </w:rPr>
        <w:t xml:space="preserve">школ  на</w:t>
      </w:r>
      <w:r>
        <w:rPr>
          <w:sz w:val="28"/>
          <w:highlight w:val="white"/>
        </w:rPr>
        <w:t xml:space="preserve"> 550 мест в населенных пунктах: п. Элитный, с. Марусино, с. Толмачево, </w:t>
      </w:r>
      <w:r>
        <w:rPr>
          <w:sz w:val="28"/>
          <w:highlight w:val="white"/>
        </w:rPr>
        <w:t xml:space="preserve">д.п</w:t>
      </w:r>
      <w:r>
        <w:rPr>
          <w:sz w:val="28"/>
          <w:highlight w:val="white"/>
        </w:rPr>
        <w:t xml:space="preserve">. </w:t>
      </w:r>
      <w:r>
        <w:rPr>
          <w:sz w:val="28"/>
          <w:highlight w:val="white"/>
        </w:rPr>
        <w:t xml:space="preserve">Кудряшовский</w:t>
      </w:r>
      <w:r>
        <w:rPr>
          <w:sz w:val="28"/>
          <w:highlight w:val="white"/>
        </w:rPr>
        <w:t xml:space="preserve">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left="-142" w:firstLine="709"/>
        <w:jc w:val="both"/>
        <w:tabs>
          <w:tab w:val="left" w:pos="567" w:leader="none"/>
          <w:tab w:val="left" w:pos="9498" w:leader="none"/>
          <w:tab w:val="left" w:pos="10206" w:leader="none"/>
        </w:tabs>
        <w:rPr>
          <w:sz w:val="28"/>
          <w:szCs w:val="28"/>
          <w:highlight w:val="white"/>
        </w:rPr>
      </w:pPr>
      <w:r>
        <w:rPr>
          <w:sz w:val="28"/>
          <w:highlight w:val="white"/>
        </w:rPr>
        <w:t xml:space="preserve">-</w:t>
      </w:r>
      <w:r>
        <w:rPr>
          <w:sz w:val="28"/>
          <w:highlight w:val="white"/>
        </w:rPr>
        <w:t xml:space="preserve"> </w:t>
      </w:r>
      <w:r>
        <w:rPr>
          <w:sz w:val="28"/>
          <w:highlight w:val="white"/>
        </w:rPr>
        <w:t xml:space="preserve">ввод в эксплуатацию здания сада-яслей в с. Марусино (</w:t>
      </w:r>
      <w:r>
        <w:rPr>
          <w:sz w:val="28"/>
          <w:highlight w:val="white"/>
        </w:rPr>
        <w:t xml:space="preserve">необходимио</w:t>
      </w:r>
      <w:r>
        <w:rPr>
          <w:sz w:val="28"/>
          <w:highlight w:val="white"/>
        </w:rPr>
        <w:t xml:space="preserve"> завершить судебные процедуры);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left="-142" w:firstLine="709"/>
        <w:jc w:val="both"/>
        <w:tabs>
          <w:tab w:val="left" w:pos="567" w:leader="none"/>
          <w:tab w:val="left" w:pos="9498" w:leader="none"/>
          <w:tab w:val="left" w:pos="10206" w:leader="none"/>
        </w:tabs>
        <w:rPr>
          <w:sz w:val="28"/>
          <w:highlight w:val="white"/>
        </w:rPr>
      </w:pPr>
      <w:r>
        <w:rPr>
          <w:sz w:val="28"/>
          <w:highlight w:val="white"/>
        </w:rPr>
        <w:t xml:space="preserve">- строительство здания Дома культура в с. Ярково на 300 зрительских мест.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left="-142" w:firstLine="709"/>
        <w:jc w:val="both"/>
        <w:tabs>
          <w:tab w:val="left" w:pos="567" w:leader="none"/>
          <w:tab w:val="left" w:pos="9498" w:leader="none"/>
          <w:tab w:val="left" w:pos="10206" w:leader="none"/>
        </w:tabs>
        <w:rPr>
          <w:color w:val="ff0000"/>
          <w:sz w:val="28"/>
          <w:szCs w:val="28"/>
          <w:highlight w:val="white"/>
        </w:rPr>
      </w:pPr>
      <w:r>
        <w:rPr>
          <w:color w:val="auto"/>
          <w:sz w:val="28"/>
          <w:szCs w:val="28"/>
          <w:highlight w:val="white"/>
        </w:rPr>
        <w:t xml:space="preserve">Всего же в 2023 году администрацией района выдано разрешений на ввод в эксплуатацию </w:t>
      </w:r>
      <w:r>
        <w:rPr>
          <w:color w:val="auto"/>
          <w:sz w:val="28"/>
          <w:szCs w:val="28"/>
          <w:highlight w:val="white"/>
        </w:rPr>
        <w:t xml:space="preserve">762</w:t>
      </w:r>
      <w:r>
        <w:rPr>
          <w:color w:val="auto"/>
          <w:sz w:val="28"/>
          <w:szCs w:val="28"/>
          <w:highlight w:val="white"/>
        </w:rPr>
        <w:t xml:space="preserve"> объектов, в том числе </w:t>
      </w:r>
      <w:r>
        <w:rPr>
          <w:color w:val="auto"/>
          <w:sz w:val="28"/>
          <w:szCs w:val="28"/>
          <w:highlight w:val="white"/>
        </w:rPr>
        <w:t xml:space="preserve">688</w:t>
      </w:r>
      <w:r>
        <w:rPr>
          <w:sz w:val="28"/>
          <w:highlight w:val="white"/>
        </w:rPr>
        <w:t xml:space="preserve"> объектов жилого назначения площадью </w:t>
      </w:r>
      <w:r>
        <w:rPr>
          <w:sz w:val="28"/>
          <w:highlight w:val="white"/>
        </w:rPr>
        <w:t xml:space="preserve">721</w:t>
      </w:r>
      <w:r>
        <w:rPr>
          <w:sz w:val="28"/>
          <w:highlight w:val="white"/>
        </w:rPr>
        <w:t xml:space="preserve"> тыс. </w:t>
      </w:r>
      <w:r>
        <w:rPr>
          <w:sz w:val="28"/>
          <w:highlight w:val="white"/>
        </w:rPr>
        <w:t xml:space="preserve">кв.м</w:t>
      </w:r>
      <w:r>
        <w:rPr>
          <w:sz w:val="28"/>
          <w:highlight w:val="white"/>
        </w:rPr>
        <w:t xml:space="preserve">, </w:t>
      </w:r>
      <w:r>
        <w:rPr>
          <w:sz w:val="28"/>
          <w:highlight w:val="white"/>
        </w:rPr>
        <w:t xml:space="preserve">61</w:t>
      </w:r>
      <w:r>
        <w:rPr>
          <w:sz w:val="28"/>
          <w:highlight w:val="white"/>
        </w:rPr>
        <w:t xml:space="preserve"> объектов производственного, складского и прочего назначения площадью </w:t>
      </w:r>
      <w:r>
        <w:rPr>
          <w:sz w:val="28"/>
          <w:highlight w:val="white"/>
        </w:rPr>
        <w:t xml:space="preserve">217,6</w:t>
      </w:r>
      <w:r>
        <w:rPr>
          <w:sz w:val="28"/>
          <w:highlight w:val="white"/>
        </w:rPr>
        <w:t xml:space="preserve"> тыс. кв. м и </w:t>
      </w:r>
      <w:r>
        <w:rPr>
          <w:color w:val="auto"/>
          <w:sz w:val="28"/>
          <w:szCs w:val="28"/>
          <w:highlight w:val="white"/>
        </w:rPr>
        <w:t xml:space="preserve">13</w:t>
      </w:r>
      <w:r>
        <w:rPr>
          <w:color w:val="auto"/>
          <w:sz w:val="28"/>
          <w:szCs w:val="28"/>
          <w:highlight w:val="white"/>
        </w:rPr>
        <w:t xml:space="preserve"> объектов социального назначения</w:t>
      </w:r>
      <w:r>
        <w:rPr>
          <w:sz w:val="28"/>
          <w:highlight w:val="white"/>
        </w:rPr>
        <w:t xml:space="preserve"> общей площадью </w:t>
      </w:r>
      <w:r>
        <w:rPr>
          <w:sz w:val="28"/>
          <w:highlight w:val="white"/>
        </w:rPr>
        <w:t xml:space="preserve">25,5</w:t>
      </w:r>
      <w:r>
        <w:rPr>
          <w:sz w:val="28"/>
          <w:highlight w:val="white"/>
        </w:rPr>
        <w:t xml:space="preserve"> тыс. кв. м</w:t>
      </w:r>
      <w:r>
        <w:rPr>
          <w:color w:val="auto"/>
          <w:sz w:val="28"/>
          <w:szCs w:val="28"/>
          <w:highlight w:val="white"/>
        </w:rPr>
        <w:t xml:space="preserve">.</w:t>
      </w:r>
      <w:r>
        <w:rPr>
          <w:color w:val="ff0000"/>
          <w:sz w:val="28"/>
          <w:szCs w:val="28"/>
          <w:highlight w:val="white"/>
        </w:rPr>
      </w:r>
      <w:r>
        <w:rPr>
          <w:color w:val="ff0000"/>
          <w:sz w:val="28"/>
          <w:szCs w:val="28"/>
          <w:highlight w:val="white"/>
        </w:rPr>
      </w:r>
    </w:p>
    <w:p>
      <w:pPr>
        <w:ind w:left="-142" w:firstLine="709"/>
        <w:jc w:val="both"/>
        <w:tabs>
          <w:tab w:val="left" w:pos="567" w:leader="none"/>
          <w:tab w:val="left" w:pos="9498" w:leader="none"/>
          <w:tab w:val="left" w:pos="10206" w:leader="none"/>
        </w:tabs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8"/>
        <w:jc w:val="both"/>
        <w:rPr>
          <w:b/>
          <w:bCs/>
          <w:i/>
          <w:sz w:val="28"/>
          <w:szCs w:val="28"/>
        </w:rPr>
      </w:pPr>
      <w:r>
        <w:rPr>
          <w:b/>
          <w:i/>
          <w:sz w:val="28"/>
        </w:rPr>
        <w:t xml:space="preserve">2.2. Обеспечение жильем</w:t>
      </w:r>
      <w:r>
        <w:rPr>
          <w:b/>
          <w:bCs/>
          <w:i/>
          <w:sz w:val="28"/>
          <w:szCs w:val="28"/>
        </w:rPr>
      </w:r>
      <w:r>
        <w:rPr>
          <w:b/>
          <w:bCs/>
          <w:i/>
          <w:sz w:val="28"/>
          <w:szCs w:val="28"/>
        </w:rPr>
      </w:r>
    </w:p>
    <w:p>
      <w:pPr>
        <w:ind w:firstLine="708"/>
        <w:jc w:val="both"/>
        <w:rPr>
          <w:b/>
          <w:bCs/>
          <w:i/>
          <w:sz w:val="28"/>
          <w:szCs w:val="28"/>
        </w:rPr>
      </w:pPr>
      <w:r>
        <w:rPr>
          <w:b/>
          <w:bCs/>
          <w:i/>
          <w:sz w:val="28"/>
          <w:szCs w:val="28"/>
        </w:rPr>
      </w:r>
      <w:r>
        <w:rPr>
          <w:b/>
          <w:bCs/>
          <w:i/>
          <w:sz w:val="28"/>
          <w:szCs w:val="28"/>
        </w:rPr>
      </w:r>
      <w:r>
        <w:rPr>
          <w:b/>
          <w:bCs/>
          <w:i/>
          <w:sz w:val="28"/>
          <w:szCs w:val="28"/>
        </w:rPr>
      </w:r>
    </w:p>
    <w:p>
      <w:pPr>
        <w:ind w:firstLine="709"/>
        <w:jc w:val="both"/>
        <w:shd w:val="clear" w:color="ffffff" w:themeColor="background1" w:fill="ffffff" w:themeFill="background1"/>
        <w:rPr>
          <w:sz w:val="28"/>
          <w:highlight w:val="white"/>
        </w:rPr>
      </w:pPr>
      <w:r>
        <w:rPr>
          <w:sz w:val="28"/>
          <w:szCs w:val="28"/>
          <w:highlight w:val="white"/>
        </w:rPr>
        <w:t xml:space="preserve">Администрация района при финансовой поддержке Правительства Новосибирской области реализует программы, направленные на поддержку многодетных семей, нуждающихся в улучшении жилищных условий, на </w:t>
      </w:r>
      <w:r>
        <w:rPr>
          <w:sz w:val="28"/>
          <w:szCs w:val="28"/>
          <w:highlight w:val="white"/>
        </w:rPr>
        <w:t xml:space="preserve">обеспечение жильем детей-сирот, оставшихся без попечения родителей и на приобретение служебного жилья для специалистов социальной сферы. 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9"/>
        <w:jc w:val="both"/>
        <w:shd w:val="clear" w:color="ffffff" w:themeColor="background1" w:fill="ffffff" w:themeFill="background1"/>
        <w:rPr>
          <w:sz w:val="28"/>
          <w:szCs w:val="28"/>
        </w:rPr>
      </w:pPr>
      <w:r>
        <w:rPr>
          <w:sz w:val="28"/>
          <w:szCs w:val="28"/>
          <w:highlight w:val="white"/>
        </w:rPr>
        <w:t xml:space="preserve">Так, в 2023 году для Новосибирского района Новосибирской о</w:t>
      </w:r>
      <w:r>
        <w:rPr>
          <w:sz w:val="28"/>
          <w:szCs w:val="28"/>
          <w:highlight w:val="white"/>
        </w:rPr>
        <w:t xml:space="preserve">бласти была выделена областная субвенция на обеспечение жилыми помещениями лиц из числа детей-сирот и детей, оставшихся без попечения родителей в размере 150,1 млн. руб., что более, чем в два раза превысило объем финансирования в 2022 году (55,2 млн руб.).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За счет выделенной субвенции приобретено 43 жилых помещения для лиц из числа детей-сирот и детей, оставшихся без попечения родителей (32 квартиры общей площадью 1039,8 </w:t>
      </w:r>
      <w:r>
        <w:rPr>
          <w:sz w:val="28"/>
          <w:szCs w:val="28"/>
          <w:highlight w:val="white"/>
        </w:rPr>
        <w:t xml:space="preserve">кв.м</w:t>
      </w:r>
      <w:r>
        <w:rPr>
          <w:sz w:val="28"/>
          <w:szCs w:val="28"/>
          <w:highlight w:val="white"/>
        </w:rPr>
        <w:t xml:space="preserve">. – на электронных аукционах, 11 – за счет жилищных сертификатов) на сумму 150,1 млн руб. (10,7 млн руб. – средств Федерального бюджета, 139,4 млн руб. – средства регионального бюджета Новосибирской области). 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shd w:val="clear" w:color="ffffff" w:themeColor="background1" w:fill="ffffff" w:themeFill="background1"/>
        <w:rPr>
          <w:sz w:val="28"/>
          <w:szCs w:val="28"/>
        </w:rPr>
      </w:pPr>
      <w:r>
        <w:rPr>
          <w:sz w:val="28"/>
          <w:szCs w:val="28"/>
          <w:highlight w:val="white"/>
        </w:rPr>
        <w:t xml:space="preserve">Таким образом, в 2023 году администрацией Новосибирского района Новосибирской области </w:t>
      </w:r>
      <w:r>
        <w:rPr>
          <w:sz w:val="28"/>
          <w:szCs w:val="28"/>
          <w:highlight w:val="white"/>
          <w:shd w:val="clear" w:color="92d050" w:fill="92d050"/>
        </w:rPr>
        <w:t xml:space="preserve">обеспечено</w:t>
      </w:r>
      <w:r>
        <w:rPr>
          <w:sz w:val="28"/>
          <w:szCs w:val="28"/>
          <w:highlight w:val="white"/>
        </w:rPr>
        <w:t xml:space="preserve"> благоустроенными жилыми помещениями 43 человека (2022 год – 23 человека), отнесенных к категории лиц из числа детей-сирот и детей, оставшихся без попечения родителей.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shd w:val="clear" w:color="ffffff" w:themeColor="background1" w:fill="ffffff" w:themeFill="background1"/>
        <w:rPr>
          <w:sz w:val="28"/>
          <w:szCs w:val="28"/>
        </w:rPr>
      </w:pPr>
      <w:r>
        <w:rPr>
          <w:sz w:val="28"/>
          <w:szCs w:val="28"/>
          <w:highlight w:val="white"/>
        </w:rPr>
        <w:t xml:space="preserve">В Новосибирском районе, в списке лиц, относящихся к категории </w:t>
      </w:r>
      <w:r>
        <w:rPr>
          <w:sz w:val="28"/>
          <w:szCs w:val="28"/>
          <w:highlight w:val="white"/>
        </w:rPr>
        <w:t xml:space="preserve">детей-сирот и детей, оставшихся без попечения родителей, обеспечению жилыми помещениями на конец 2023 года подлежат 354 человека, из них лица, у которых на данный момент возникло право на получение жилого помещения (лица от 18 лет и старше) – 237 человек.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  <w:highlight w:val="white"/>
        </w:rPr>
        <w:t xml:space="preserve">В рамках государственной программы Новосибирской области «Обеспечение жильем молодых семей в Новосибирской области»</w:t>
      </w:r>
      <w:r>
        <w:rPr>
          <w:sz w:val="28"/>
          <w:szCs w:val="28"/>
          <w:highlight w:val="white"/>
        </w:rPr>
        <w:t xml:space="preserve"> в 2023 году выданы 4 свидетельства о праве на получение социальной выплаты на приобретение жилого помещения или создание объекта индивидуального жилищного строительства для 4 семей (13 человек) на сумму 4,3 млн руб. (2022 г. – 3,2 млн руб. для 2-х семей).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</w:rPr>
        <w:t xml:space="preserve">З</w:t>
      </w:r>
      <w:r>
        <w:rPr>
          <w:sz w:val="28"/>
          <w:szCs w:val="28"/>
          <w:highlight w:val="white"/>
        </w:rPr>
        <w:t xml:space="preserve">а счет средств государственной корпорации – «Фонд содействия реформированию жилищно-коммунального хозяйства» и подпрограммы «Безопасность жилищно-комму</w:t>
      </w:r>
      <w:r>
        <w:rPr>
          <w:sz w:val="28"/>
          <w:szCs w:val="28"/>
          <w:highlight w:val="white"/>
        </w:rPr>
        <w:t xml:space="preserve">нального хозяйства» государственной программы Новосибирской области «Жилищно-коммунальное хозяйство Новосибирской области» в рамках реализации мероприятий по расселению граждан из аварийного жилья для 26 семей общей численностью 96человек были приобретены: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- 6 квартир на сумму 24,4 млн руб. для 29 жителей Каменского сельсовета;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- 20 квартир на сумму 81,5 руб. для </w:t>
      </w:r>
      <w:r>
        <w:rPr>
          <w:sz w:val="28"/>
          <w:szCs w:val="28"/>
          <w:highlight w:val="white"/>
        </w:rPr>
        <w:t xml:space="preserve">67  жителей</w:t>
      </w:r>
      <w:r>
        <w:rPr>
          <w:sz w:val="28"/>
          <w:szCs w:val="28"/>
          <w:highlight w:val="white"/>
        </w:rPr>
        <w:t xml:space="preserve"> </w:t>
      </w:r>
      <w:r>
        <w:rPr>
          <w:sz w:val="28"/>
          <w:szCs w:val="28"/>
          <w:highlight w:val="white"/>
        </w:rPr>
        <w:t xml:space="preserve">Барышевского</w:t>
      </w:r>
      <w:r>
        <w:rPr>
          <w:sz w:val="28"/>
          <w:szCs w:val="28"/>
          <w:highlight w:val="white"/>
        </w:rPr>
        <w:t xml:space="preserve"> сельсовета.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</w:rPr>
      </w:pPr>
      <w:r>
        <w:rPr>
          <w:sz w:val="28"/>
        </w:rPr>
      </w:r>
      <w:r>
        <w:rPr>
          <w:sz w:val="28"/>
        </w:rPr>
      </w:r>
      <w:r>
        <w:rPr>
          <w:sz w:val="28"/>
        </w:rPr>
      </w:r>
    </w:p>
    <w:p>
      <w:pPr>
        <w:ind w:firstLine="709"/>
        <w:jc w:val="both"/>
        <w:tabs>
          <w:tab w:val="left" w:pos="7770" w:leader="none"/>
        </w:tabs>
        <w:rPr>
          <w:b/>
          <w:bCs/>
          <w:i/>
          <w:sz w:val="28"/>
          <w:szCs w:val="28"/>
        </w:rPr>
      </w:pPr>
      <w:r>
        <w:rPr>
          <w:b/>
          <w:i/>
          <w:sz w:val="28"/>
        </w:rPr>
        <w:t xml:space="preserve">2.3. Автомобильные дороги и освещение</w:t>
      </w:r>
      <w:r>
        <w:rPr>
          <w:b/>
          <w:bCs/>
          <w:i/>
          <w:sz w:val="28"/>
          <w:szCs w:val="28"/>
        </w:rPr>
      </w:r>
      <w:r>
        <w:rPr>
          <w:b/>
          <w:bCs/>
          <w:i/>
          <w:sz w:val="28"/>
          <w:szCs w:val="28"/>
        </w:rPr>
      </w:r>
    </w:p>
    <w:p>
      <w:pPr>
        <w:ind w:firstLine="709"/>
        <w:jc w:val="both"/>
        <w:tabs>
          <w:tab w:val="left" w:pos="7770" w:leader="none"/>
        </w:tabs>
        <w:rPr>
          <w:b/>
          <w:bCs/>
          <w:i/>
          <w:sz w:val="28"/>
          <w:szCs w:val="28"/>
          <w:highlight w:val="yellow"/>
        </w:rPr>
      </w:pPr>
      <w:r>
        <w:rPr>
          <w:b/>
          <w:bCs/>
          <w:i/>
          <w:sz w:val="28"/>
          <w:szCs w:val="28"/>
          <w:highlight w:val="yellow"/>
        </w:rPr>
      </w:r>
      <w:r>
        <w:rPr>
          <w:b/>
          <w:bCs/>
          <w:i/>
          <w:sz w:val="28"/>
          <w:szCs w:val="28"/>
          <w:highlight w:val="yellow"/>
        </w:rPr>
      </w:r>
      <w:r>
        <w:rPr>
          <w:b/>
          <w:bCs/>
          <w:i/>
          <w:sz w:val="28"/>
          <w:szCs w:val="28"/>
          <w:highlight w:val="yellow"/>
        </w:rPr>
      </w:r>
    </w:p>
    <w:p>
      <w:pPr>
        <w:ind w:firstLine="708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Автодорожная сеть в Новосибирском районе включает в себя 896,2 км автодорог местного значения, в том числе 64,8 % (580,3 км) – с твердым покрытием. Из них районного значения – 142,3 км.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8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В 2023 году на работы, связ</w:t>
      </w:r>
      <w:r>
        <w:rPr>
          <w:sz w:val="28"/>
          <w:highlight w:val="white"/>
        </w:rPr>
        <w:t xml:space="preserve">анные с содержанием, ремонтом и строительством автомобильных дорог на территории Новосибирского района финансирование составило 551,3 млн руб., из них средства бюджета района – 274,7 млн руб., что на 86,4 млн руб. больше, чем в 2022 году (188,3 млн руб.). 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8"/>
        <w:jc w:val="both"/>
        <w:rPr>
          <w:sz w:val="28"/>
          <w:highlight w:val="white"/>
        </w:rPr>
      </w:pPr>
      <w:r>
        <w:rPr>
          <w:sz w:val="28"/>
        </w:rPr>
        <w:t xml:space="preserve">Так</w:t>
      </w:r>
      <w:r>
        <w:rPr>
          <w:sz w:val="28"/>
          <w:highlight w:val="white"/>
        </w:rPr>
        <w:t xml:space="preserve">, из об</w:t>
      </w:r>
      <w:r>
        <w:rPr>
          <w:sz w:val="28"/>
          <w:highlight w:val="white"/>
        </w:rPr>
        <w:t xml:space="preserve">ластного бюджета в рамках государственной программы «Развитие автомобильных дорог регионального, межмуниципального и местного значения в Новосибирской области» в 2023 году было выделено 276,6 млн руб. Эти средства направлены на выполнение следующих работ: 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8"/>
        <w:jc w:val="both"/>
        <w:rPr>
          <w:sz w:val="28"/>
          <w:highlight w:val="white"/>
        </w:rPr>
      </w:pPr>
      <w:r>
        <w:rPr>
          <w:sz w:val="28"/>
          <w:szCs w:val="28"/>
          <w:highlight w:val="white"/>
        </w:rPr>
        <w:t xml:space="preserve">1) ремонт автомобильной дороги вдоль школы и амбулатории в </w:t>
      </w:r>
      <w:r>
        <w:rPr>
          <w:sz w:val="28"/>
          <w:szCs w:val="28"/>
          <w:highlight w:val="white"/>
        </w:rPr>
        <w:t xml:space="preserve">с.Каменка</w:t>
      </w:r>
      <w:r>
        <w:rPr>
          <w:sz w:val="28"/>
          <w:szCs w:val="28"/>
          <w:highlight w:val="white"/>
        </w:rPr>
        <w:t xml:space="preserve"> (микрорайон «Олимпийская Слава»); 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8"/>
        <w:jc w:val="both"/>
        <w:rPr>
          <w:sz w:val="28"/>
          <w:highlight w:val="white"/>
        </w:rPr>
      </w:pPr>
      <w:r>
        <w:rPr>
          <w:sz w:val="28"/>
          <w:szCs w:val="28"/>
          <w:highlight w:val="white"/>
        </w:rPr>
        <w:t xml:space="preserve">2) строительство автомобильной дороги до амбулатории в </w:t>
      </w:r>
      <w:r>
        <w:rPr>
          <w:sz w:val="28"/>
          <w:szCs w:val="28"/>
          <w:highlight w:val="white"/>
        </w:rPr>
        <w:t xml:space="preserve">с.Каменка</w:t>
      </w:r>
      <w:r>
        <w:rPr>
          <w:sz w:val="28"/>
          <w:szCs w:val="28"/>
          <w:highlight w:val="white"/>
        </w:rPr>
        <w:t xml:space="preserve"> (микрорайон «Близкий»);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8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3) ремонт улично-дорожной сети </w:t>
      </w:r>
      <w:r>
        <w:rPr>
          <w:sz w:val="28"/>
          <w:szCs w:val="28"/>
          <w:highlight w:val="white"/>
        </w:rPr>
        <w:t xml:space="preserve">с.Раздольное</w:t>
      </w:r>
      <w:r>
        <w:rPr>
          <w:sz w:val="28"/>
          <w:szCs w:val="28"/>
          <w:highlight w:val="white"/>
        </w:rPr>
        <w:t xml:space="preserve"> Новосибирского района;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8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4) ремонт </w:t>
      </w:r>
      <w:r>
        <w:rPr>
          <w:sz w:val="28"/>
          <w:szCs w:val="28"/>
          <w:highlight w:val="white"/>
        </w:rPr>
        <w:t xml:space="preserve">ул.Полевая</w:t>
      </w:r>
      <w:r>
        <w:rPr>
          <w:sz w:val="28"/>
          <w:szCs w:val="28"/>
          <w:highlight w:val="white"/>
        </w:rPr>
        <w:t xml:space="preserve"> на </w:t>
      </w:r>
      <w:r>
        <w:rPr>
          <w:sz w:val="28"/>
          <w:szCs w:val="28"/>
          <w:highlight w:val="white"/>
        </w:rPr>
        <w:t xml:space="preserve">ст.Мочище</w:t>
      </w:r>
      <w:r>
        <w:rPr>
          <w:sz w:val="28"/>
          <w:szCs w:val="28"/>
          <w:highlight w:val="white"/>
        </w:rPr>
        <w:t xml:space="preserve"> Станционного сельсовета;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8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5) ремонт </w:t>
      </w:r>
      <w:r>
        <w:rPr>
          <w:sz w:val="28"/>
          <w:szCs w:val="28"/>
          <w:highlight w:val="white"/>
        </w:rPr>
        <w:t xml:space="preserve">ул.Спортивная</w:t>
      </w:r>
      <w:r>
        <w:rPr>
          <w:sz w:val="28"/>
          <w:szCs w:val="28"/>
          <w:highlight w:val="white"/>
        </w:rPr>
        <w:t xml:space="preserve"> в </w:t>
      </w:r>
      <w:r>
        <w:rPr>
          <w:sz w:val="28"/>
          <w:szCs w:val="28"/>
          <w:highlight w:val="white"/>
        </w:rPr>
        <w:t xml:space="preserve">с.Красноглинное</w:t>
      </w:r>
      <w:r>
        <w:rPr>
          <w:sz w:val="28"/>
          <w:szCs w:val="28"/>
          <w:highlight w:val="white"/>
        </w:rPr>
        <w:t xml:space="preserve"> </w:t>
      </w:r>
      <w:r>
        <w:rPr>
          <w:sz w:val="28"/>
          <w:szCs w:val="28"/>
          <w:highlight w:val="white"/>
        </w:rPr>
        <w:t xml:space="preserve">Толмачевского</w:t>
      </w:r>
      <w:r>
        <w:rPr>
          <w:sz w:val="28"/>
          <w:szCs w:val="28"/>
          <w:highlight w:val="white"/>
        </w:rPr>
        <w:t xml:space="preserve"> сельсовета;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8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6) реконструкция автомобильной дороги по ул. Восточная (от проходной садов ФТИ до северного створа здания №4 к.1 по ул. Восточная) в                                 </w:t>
      </w:r>
      <w:r>
        <w:rPr>
          <w:sz w:val="28"/>
          <w:szCs w:val="28"/>
          <w:highlight w:val="white"/>
        </w:rPr>
        <w:t xml:space="preserve">р.п</w:t>
      </w:r>
      <w:r>
        <w:rPr>
          <w:sz w:val="28"/>
          <w:szCs w:val="28"/>
          <w:highlight w:val="white"/>
        </w:rPr>
        <w:t xml:space="preserve">. </w:t>
      </w:r>
      <w:r>
        <w:rPr>
          <w:sz w:val="28"/>
          <w:szCs w:val="28"/>
          <w:highlight w:val="white"/>
        </w:rPr>
        <w:t xml:space="preserve">Краснообск</w:t>
      </w:r>
      <w:r>
        <w:rPr>
          <w:sz w:val="28"/>
          <w:szCs w:val="28"/>
          <w:highlight w:val="white"/>
        </w:rPr>
        <w:t xml:space="preserve">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8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7) реконструкция автомобильной дороги по ул. Центральная (от ул. 12 до границы рабочего поселка </w:t>
      </w:r>
      <w:r>
        <w:rPr>
          <w:sz w:val="28"/>
          <w:szCs w:val="28"/>
          <w:highlight w:val="white"/>
        </w:rPr>
        <w:t xml:space="preserve">Краснообск</w:t>
      </w:r>
      <w:r>
        <w:rPr>
          <w:sz w:val="28"/>
          <w:szCs w:val="28"/>
          <w:highlight w:val="white"/>
        </w:rPr>
        <w:t xml:space="preserve"> с Мичуринским сельсоветом) в </w:t>
      </w:r>
      <w:r>
        <w:rPr>
          <w:sz w:val="28"/>
          <w:szCs w:val="28"/>
          <w:highlight w:val="white"/>
        </w:rPr>
        <w:t xml:space="preserve">р.п</w:t>
      </w:r>
      <w:r>
        <w:rPr>
          <w:sz w:val="28"/>
          <w:szCs w:val="28"/>
          <w:highlight w:val="white"/>
        </w:rPr>
        <w:t xml:space="preserve">. </w:t>
      </w:r>
      <w:r>
        <w:rPr>
          <w:sz w:val="28"/>
          <w:szCs w:val="28"/>
          <w:highlight w:val="white"/>
        </w:rPr>
        <w:t xml:space="preserve">Краснообск</w:t>
      </w:r>
      <w:r>
        <w:rPr>
          <w:sz w:val="28"/>
          <w:szCs w:val="28"/>
          <w:highlight w:val="white"/>
        </w:rPr>
        <w:t xml:space="preserve">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8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8) содержание а/</w:t>
      </w:r>
      <w:r>
        <w:rPr>
          <w:sz w:val="28"/>
          <w:szCs w:val="28"/>
          <w:highlight w:val="white"/>
        </w:rPr>
        <w:t xml:space="preserve">д  по</w:t>
      </w:r>
      <w:r>
        <w:rPr>
          <w:sz w:val="28"/>
          <w:szCs w:val="28"/>
          <w:highlight w:val="white"/>
        </w:rPr>
        <w:t xml:space="preserve"> </w:t>
      </w:r>
      <w:r>
        <w:rPr>
          <w:sz w:val="28"/>
          <w:szCs w:val="28"/>
          <w:highlight w:val="white"/>
        </w:rPr>
        <w:t xml:space="preserve">ул.Восточная</w:t>
      </w:r>
      <w:r>
        <w:rPr>
          <w:sz w:val="28"/>
          <w:szCs w:val="28"/>
          <w:highlight w:val="white"/>
        </w:rPr>
        <w:t xml:space="preserve"> в </w:t>
      </w:r>
      <w:r>
        <w:rPr>
          <w:sz w:val="28"/>
          <w:szCs w:val="28"/>
          <w:highlight w:val="white"/>
        </w:rPr>
        <w:t xml:space="preserve">р.п.Краснообск</w:t>
      </w:r>
      <w:r>
        <w:rPr>
          <w:sz w:val="28"/>
          <w:szCs w:val="28"/>
          <w:highlight w:val="white"/>
        </w:rPr>
        <w:t xml:space="preserve"> (обустройство техническими средствами организации дорожного движения);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8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9) содержание автомобильных дорог Новосибирского района. 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8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На реализацию мероприятий в ра</w:t>
      </w:r>
      <w:r>
        <w:rPr>
          <w:sz w:val="28"/>
          <w:highlight w:val="white"/>
        </w:rPr>
        <w:t xml:space="preserve">мках муниципальной программы Новосибирского района «Развитие автомобильных дорог местного значения на территории Новосибирского района Новосибирской области» было выделено 274,7 млн руб. Данные средства были направлены на реализацию следующих мероприятий: 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8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1) содержание автомобильных дорог и мостовых сооружений Новосибирского района Новосибирской области на общую сумму 40,5 млн руб. (39,3 млн руб. и 1,2 млн руб.</w:t>
      </w:r>
      <w:r>
        <w:rPr>
          <w:sz w:val="28"/>
        </w:rPr>
        <w:t xml:space="preserve">, соответственно)</w:t>
      </w:r>
      <w:r>
        <w:rPr>
          <w:sz w:val="28"/>
          <w:highlight w:val="white"/>
        </w:rPr>
        <w:t xml:space="preserve">;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9"/>
        <w:jc w:val="both"/>
        <w:rPr>
          <w:highlight w:val="white"/>
        </w:rPr>
      </w:pPr>
      <w:r>
        <w:rPr>
          <w:sz w:val="28"/>
          <w:highlight w:val="white"/>
        </w:rPr>
        <w:t xml:space="preserve">2) ремонт автомобильных дорог Новосибирского района (ремонт а/д «Новосибирск– Сокур», ремонт а/д «Красномайский-</w:t>
      </w:r>
      <w:r>
        <w:rPr>
          <w:sz w:val="28"/>
          <w:highlight w:val="white"/>
        </w:rPr>
        <w:t xml:space="preserve">Новоозерный</w:t>
      </w:r>
      <w:r>
        <w:rPr>
          <w:sz w:val="28"/>
          <w:highlight w:val="white"/>
        </w:rPr>
        <w:t xml:space="preserve">»; ремонт а/д «Пашино - 3 км ад Н-2105»,</w:t>
      </w:r>
      <w:r>
        <w:rPr>
          <w:sz w:val="36"/>
          <w:szCs w:val="28"/>
          <w:highlight w:val="white"/>
        </w:rPr>
        <w:t xml:space="preserve"> </w:t>
      </w:r>
      <w:r>
        <w:rPr>
          <w:sz w:val="28"/>
          <w:szCs w:val="28"/>
          <w:highlight w:val="white"/>
        </w:rPr>
        <w:t xml:space="preserve">ремонт а/д «11 км а/д «Н – 2138» -«Новосибирск-Красный Яр» - Кубовая», ремонт а/д «Академгородок – Каменушка», ремонт а/д к насосной станции № 2 </w:t>
      </w:r>
      <w:r>
        <w:rPr>
          <w:sz w:val="28"/>
          <w:szCs w:val="28"/>
          <w:highlight w:val="white"/>
        </w:rPr>
        <w:t xml:space="preserve">Чеминской</w:t>
      </w:r>
      <w:r>
        <w:rPr>
          <w:sz w:val="28"/>
          <w:szCs w:val="28"/>
          <w:highlight w:val="white"/>
        </w:rPr>
        <w:t xml:space="preserve"> оросительной системы, ремонт а/д «Кубовая – </w:t>
      </w:r>
      <w:r>
        <w:rPr>
          <w:sz w:val="28"/>
          <w:szCs w:val="28"/>
          <w:highlight w:val="white"/>
        </w:rPr>
        <w:t xml:space="preserve">Бибиха</w:t>
      </w:r>
      <w:r>
        <w:rPr>
          <w:sz w:val="28"/>
          <w:szCs w:val="28"/>
          <w:highlight w:val="white"/>
        </w:rPr>
        <w:t xml:space="preserve">», ремонт а/д «Каменушка – Ключи», ремонт а/д «42 км а/д «К-17р» – Военный городок», ремонт а/д «2 км «Новосибирск – Красный Яр – санаторий «Восток», ремонт а/д «10 км а/д «Н-2107» – СНТ «Здоровье», ремонт а/д «Новосибирск – Сокур» – </w:t>
      </w:r>
      <w:r>
        <w:rPr>
          <w:sz w:val="28"/>
          <w:szCs w:val="28"/>
          <w:highlight w:val="white"/>
        </w:rPr>
        <w:t xml:space="preserve">ст.Иня</w:t>
      </w:r>
      <w:r>
        <w:rPr>
          <w:sz w:val="28"/>
          <w:szCs w:val="28"/>
          <w:highlight w:val="white"/>
        </w:rPr>
        <w:t xml:space="preserve"> Восточная», ремонт а/д «Красный Яр – Сосновка»</w:t>
      </w:r>
      <w:r>
        <w:rPr>
          <w:sz w:val="28"/>
          <w:highlight w:val="white"/>
        </w:rPr>
        <w:t xml:space="preserve">) – отремонтировано 12 участков автомобильных дорог общего пользования местного значения протяженностью 12,5 км на общую сумму 84,0 млн руб.;   </w:t>
      </w:r>
      <w:r>
        <w:rPr>
          <w:highlight w:val="white"/>
        </w:rPr>
      </w:r>
      <w:r>
        <w:rPr>
          <w:highlight w:val="white"/>
        </w:rPr>
      </w:r>
    </w:p>
    <w:p>
      <w:pPr>
        <w:ind w:firstLine="708"/>
        <w:jc w:val="both"/>
        <w:rPr>
          <w:sz w:val="28"/>
          <w:szCs w:val="28"/>
          <w:highlight w:val="white"/>
        </w:rPr>
      </w:pPr>
      <w:r>
        <w:rPr>
          <w:sz w:val="28"/>
          <w:highlight w:val="white"/>
        </w:rPr>
        <w:t xml:space="preserve">3) ремонт и содержание улично-дорожной сети</w:t>
      </w:r>
      <w:r>
        <w:rPr>
          <w:sz w:val="28"/>
        </w:rPr>
        <w:t xml:space="preserve"> муниципальных образований Новосибирского района (</w:t>
      </w:r>
      <w:r>
        <w:rPr>
          <w:sz w:val="28"/>
          <w:highlight w:val="white"/>
        </w:rPr>
        <w:t xml:space="preserve">п.Ложок</w:t>
      </w:r>
      <w:r>
        <w:rPr>
          <w:sz w:val="28"/>
          <w:highlight w:val="white"/>
        </w:rPr>
        <w:t xml:space="preserve">, </w:t>
      </w:r>
      <w:r>
        <w:rPr>
          <w:sz w:val="28"/>
          <w:highlight w:val="white"/>
        </w:rPr>
        <w:t xml:space="preserve">с.Барышево</w:t>
      </w:r>
      <w:r>
        <w:rPr>
          <w:sz w:val="28"/>
          <w:highlight w:val="white"/>
        </w:rPr>
        <w:t xml:space="preserve">, </w:t>
      </w:r>
      <w:r>
        <w:rPr>
          <w:sz w:val="28"/>
          <w:highlight w:val="white"/>
        </w:rPr>
        <w:t xml:space="preserve">п.Железнодорожный</w:t>
      </w:r>
      <w:r>
        <w:rPr>
          <w:sz w:val="28"/>
          <w:highlight w:val="white"/>
        </w:rPr>
        <w:t xml:space="preserve">, </w:t>
      </w:r>
      <w:r>
        <w:rPr>
          <w:sz w:val="28"/>
          <w:highlight w:val="white"/>
        </w:rPr>
        <w:t xml:space="preserve">п.Березовский</w:t>
      </w:r>
      <w:r>
        <w:rPr>
          <w:sz w:val="28"/>
          <w:highlight w:val="white"/>
        </w:rPr>
        <w:t xml:space="preserve">, </w:t>
      </w:r>
      <w:r>
        <w:rPr>
          <w:sz w:val="28"/>
          <w:highlight w:val="white"/>
        </w:rPr>
        <w:t xml:space="preserve">с.Боровое</w:t>
      </w:r>
      <w:r>
        <w:rPr>
          <w:sz w:val="28"/>
          <w:highlight w:val="white"/>
        </w:rPr>
        <w:t xml:space="preserve">, </w:t>
      </w:r>
      <w:r>
        <w:rPr>
          <w:sz w:val="28"/>
          <w:highlight w:val="white"/>
        </w:rPr>
        <w:t xml:space="preserve">с.Береговое</w:t>
      </w:r>
      <w:r>
        <w:rPr>
          <w:sz w:val="28"/>
          <w:highlight w:val="white"/>
        </w:rPr>
        <w:t xml:space="preserve">, </w:t>
      </w:r>
      <w:r>
        <w:rPr>
          <w:sz w:val="28"/>
          <w:highlight w:val="white"/>
        </w:rPr>
        <w:t xml:space="preserve">с.Верх</w:t>
      </w:r>
      <w:r>
        <w:rPr>
          <w:sz w:val="28"/>
          <w:highlight w:val="white"/>
        </w:rPr>
        <w:t xml:space="preserve">-Тула, </w:t>
      </w:r>
      <w:r>
        <w:rPr>
          <w:sz w:val="28"/>
          <w:highlight w:val="white"/>
        </w:rPr>
        <w:t xml:space="preserve">п.Советский</w:t>
      </w:r>
      <w:r>
        <w:rPr>
          <w:sz w:val="28"/>
          <w:highlight w:val="white"/>
        </w:rPr>
        <w:t xml:space="preserve">, </w:t>
      </w:r>
      <w:r>
        <w:rPr>
          <w:sz w:val="28"/>
          <w:highlight w:val="white"/>
        </w:rPr>
        <w:t xml:space="preserve">с.Сосновка</w:t>
      </w:r>
      <w:r>
        <w:rPr>
          <w:sz w:val="28"/>
          <w:highlight w:val="white"/>
        </w:rPr>
        <w:t xml:space="preserve">, </w:t>
      </w:r>
      <w:r>
        <w:rPr>
          <w:sz w:val="28"/>
          <w:highlight w:val="white"/>
        </w:rPr>
        <w:t xml:space="preserve">с.Криводановка</w:t>
      </w:r>
      <w:r>
        <w:rPr>
          <w:sz w:val="28"/>
          <w:highlight w:val="white"/>
        </w:rPr>
        <w:t xml:space="preserve">, </w:t>
      </w:r>
      <w:r>
        <w:rPr>
          <w:sz w:val="28"/>
          <w:highlight w:val="white"/>
        </w:rPr>
        <w:t xml:space="preserve">с.Марусино</w:t>
      </w:r>
      <w:r>
        <w:rPr>
          <w:sz w:val="28"/>
          <w:highlight w:val="white"/>
        </w:rPr>
        <w:t xml:space="preserve">, </w:t>
      </w:r>
      <w:r>
        <w:rPr>
          <w:sz w:val="28"/>
          <w:highlight w:val="white"/>
        </w:rPr>
        <w:t xml:space="preserve">д.п.Кудряшовский</w:t>
      </w:r>
      <w:r>
        <w:rPr>
          <w:sz w:val="28"/>
          <w:highlight w:val="white"/>
        </w:rPr>
        <w:t xml:space="preserve">, </w:t>
      </w:r>
      <w:r>
        <w:rPr>
          <w:sz w:val="28"/>
          <w:highlight w:val="white"/>
        </w:rPr>
        <w:t xml:space="preserve">п.Юный</w:t>
      </w:r>
      <w:r>
        <w:rPr>
          <w:sz w:val="28"/>
          <w:highlight w:val="white"/>
        </w:rPr>
        <w:t xml:space="preserve"> Ленинец, </w:t>
      </w:r>
      <w:r>
        <w:rPr>
          <w:sz w:val="28"/>
          <w:highlight w:val="white"/>
        </w:rPr>
        <w:t xml:space="preserve">с.Ленинское</w:t>
      </w:r>
      <w:r>
        <w:rPr>
          <w:sz w:val="28"/>
          <w:highlight w:val="white"/>
        </w:rPr>
        <w:t xml:space="preserve">, </w:t>
      </w:r>
      <w:r>
        <w:rPr>
          <w:sz w:val="28"/>
          <w:highlight w:val="white"/>
        </w:rPr>
        <w:t xml:space="preserve">п.Ленинский</w:t>
      </w:r>
      <w:r>
        <w:rPr>
          <w:sz w:val="28"/>
          <w:highlight w:val="white"/>
        </w:rPr>
        <w:t xml:space="preserve">, </w:t>
      </w:r>
      <w:r>
        <w:rPr>
          <w:sz w:val="28"/>
          <w:highlight w:val="white"/>
        </w:rPr>
        <w:t xml:space="preserve">д.п.Мочище</w:t>
      </w:r>
      <w:r>
        <w:rPr>
          <w:sz w:val="28"/>
          <w:highlight w:val="white"/>
        </w:rPr>
        <w:t xml:space="preserve">, </w:t>
      </w:r>
      <w:r>
        <w:rPr>
          <w:sz w:val="28"/>
          <w:highlight w:val="white"/>
        </w:rPr>
        <w:t xml:space="preserve">д.Издревая</w:t>
      </w:r>
      <w:r>
        <w:rPr>
          <w:sz w:val="28"/>
          <w:highlight w:val="white"/>
        </w:rPr>
        <w:t xml:space="preserve">, </w:t>
      </w:r>
      <w:r>
        <w:rPr>
          <w:sz w:val="28"/>
          <w:highlight w:val="white"/>
        </w:rPr>
        <w:t xml:space="preserve">с.Жеребцово</w:t>
      </w:r>
      <w:r>
        <w:rPr>
          <w:sz w:val="28"/>
          <w:highlight w:val="white"/>
        </w:rPr>
        <w:t xml:space="preserve">, </w:t>
      </w:r>
      <w:r>
        <w:rPr>
          <w:sz w:val="28"/>
          <w:highlight w:val="white"/>
        </w:rPr>
        <w:t xml:space="preserve">с.Плотниково</w:t>
      </w:r>
      <w:r>
        <w:rPr>
          <w:sz w:val="28"/>
          <w:highlight w:val="white"/>
        </w:rPr>
        <w:t xml:space="preserve">, </w:t>
      </w:r>
      <w:r>
        <w:rPr>
          <w:sz w:val="28"/>
          <w:highlight w:val="white"/>
        </w:rPr>
        <w:t xml:space="preserve">с.Раздольное</w:t>
      </w:r>
      <w:r>
        <w:rPr>
          <w:sz w:val="28"/>
          <w:highlight w:val="white"/>
        </w:rPr>
        <w:t xml:space="preserve">, </w:t>
      </w:r>
      <w:r>
        <w:rPr>
          <w:sz w:val="28"/>
          <w:highlight w:val="white"/>
        </w:rPr>
        <w:t xml:space="preserve">с.Гусиный</w:t>
      </w:r>
      <w:r>
        <w:rPr>
          <w:sz w:val="28"/>
          <w:highlight w:val="white"/>
        </w:rPr>
        <w:t xml:space="preserve"> Брод, </w:t>
      </w:r>
      <w:r>
        <w:rPr>
          <w:sz w:val="28"/>
          <w:highlight w:val="white"/>
        </w:rPr>
        <w:t xml:space="preserve">п.Садовый</w:t>
      </w:r>
      <w:r>
        <w:rPr>
          <w:sz w:val="28"/>
          <w:highlight w:val="white"/>
        </w:rPr>
        <w:t xml:space="preserve">, </w:t>
      </w:r>
      <w:r>
        <w:rPr>
          <w:sz w:val="28"/>
          <w:highlight w:val="white"/>
        </w:rPr>
        <w:t xml:space="preserve">п.Витаминка</w:t>
      </w:r>
      <w:r>
        <w:rPr>
          <w:sz w:val="28"/>
          <w:highlight w:val="white"/>
        </w:rPr>
        <w:t xml:space="preserve">) – выполнен ремонт 36 участков улиц населенных пунктов протяженностью 27 км на общую сумму 96,5 млн руб.;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8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4) обустройство пешеходных переходов вблизи образовательных учреждений муниципальных образований Новосибирского района на общую сумму 11,7 млн руб. (</w:t>
      </w:r>
      <w:r>
        <w:rPr>
          <w:sz w:val="28"/>
          <w:highlight w:val="white"/>
        </w:rPr>
        <w:t xml:space="preserve">Кубовинский</w:t>
      </w:r>
      <w:r>
        <w:rPr>
          <w:sz w:val="28"/>
          <w:highlight w:val="white"/>
        </w:rPr>
        <w:t xml:space="preserve">, Станционный, Мичуринский, </w:t>
      </w:r>
      <w:r>
        <w:rPr>
          <w:sz w:val="28"/>
          <w:highlight w:val="white"/>
        </w:rPr>
        <w:t xml:space="preserve">Криводановский</w:t>
      </w:r>
      <w:r>
        <w:rPr>
          <w:sz w:val="28"/>
          <w:highlight w:val="white"/>
        </w:rPr>
        <w:t xml:space="preserve">, </w:t>
      </w:r>
      <w:r>
        <w:rPr>
          <w:sz w:val="28"/>
          <w:highlight w:val="white"/>
        </w:rPr>
        <w:t xml:space="preserve">Боровской</w:t>
      </w:r>
      <w:r>
        <w:rPr>
          <w:sz w:val="28"/>
          <w:highlight w:val="white"/>
        </w:rPr>
        <w:t xml:space="preserve"> сельсоветы); 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8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5) разработка проектно-сметной документации на общую сумму 39,9 млн руб.;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8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6) оказание услуг по проведению строительного контроля на объектах ремонта автомобильных дорог на сумму 2,1 млн руб.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8"/>
        <w:jc w:val="both"/>
        <w:rPr>
          <w:sz w:val="28"/>
          <w:szCs w:val="28"/>
          <w:highlight w:val="none"/>
        </w:rPr>
      </w:pPr>
      <w:r>
        <w:rPr>
          <w:sz w:val="28"/>
          <w:highlight w:val="white"/>
        </w:rPr>
        <w:t xml:space="preserve">За счет средств муниципальной программы «Развитие сетей наружного уличного освещения Новосибирского района Новосибирской области на 2023-2025 годы» на обустройство автомобильных дорог уличным освещением 14 населенных пунктов (</w:t>
      </w:r>
      <w:r>
        <w:rPr>
          <w:sz w:val="28"/>
          <w:highlight w:val="white"/>
        </w:rPr>
        <w:t xml:space="preserve">п.Каинская</w:t>
      </w:r>
      <w:r>
        <w:rPr>
          <w:sz w:val="28"/>
          <w:highlight w:val="white"/>
        </w:rPr>
        <w:t xml:space="preserve"> Заимка, </w:t>
      </w:r>
      <w:r>
        <w:rPr>
          <w:sz w:val="28"/>
          <w:highlight w:val="white"/>
        </w:rPr>
        <w:t xml:space="preserve">п.Железнодорожный</w:t>
      </w:r>
      <w:r>
        <w:rPr>
          <w:sz w:val="28"/>
          <w:highlight w:val="white"/>
        </w:rPr>
        <w:t xml:space="preserve">, </w:t>
      </w:r>
      <w:r>
        <w:rPr>
          <w:sz w:val="28"/>
          <w:highlight w:val="white"/>
        </w:rPr>
        <w:t xml:space="preserve">ст.Шелковичиха</w:t>
      </w:r>
      <w:r>
        <w:rPr>
          <w:sz w:val="28"/>
          <w:highlight w:val="white"/>
        </w:rPr>
        <w:t xml:space="preserve">, </w:t>
      </w:r>
      <w:r>
        <w:rPr>
          <w:sz w:val="28"/>
          <w:highlight w:val="white"/>
        </w:rPr>
        <w:t xml:space="preserve">с.Верх</w:t>
      </w:r>
      <w:r>
        <w:rPr>
          <w:sz w:val="28"/>
          <w:highlight w:val="white"/>
        </w:rPr>
        <w:t xml:space="preserve">-Тула, </w:t>
      </w:r>
      <w:r>
        <w:rPr>
          <w:sz w:val="28"/>
          <w:highlight w:val="white"/>
        </w:rPr>
        <w:t xml:space="preserve">п.Тулинский</w:t>
      </w:r>
      <w:r>
        <w:rPr>
          <w:sz w:val="28"/>
          <w:highlight w:val="white"/>
        </w:rPr>
        <w:t xml:space="preserve">, </w:t>
      </w:r>
      <w:r>
        <w:rPr>
          <w:sz w:val="28"/>
          <w:highlight w:val="white"/>
        </w:rPr>
        <w:t xml:space="preserve">п.Крупской</w:t>
      </w:r>
      <w:r>
        <w:rPr>
          <w:sz w:val="28"/>
          <w:highlight w:val="white"/>
        </w:rPr>
        <w:t xml:space="preserve">, </w:t>
      </w:r>
      <w:r>
        <w:rPr>
          <w:sz w:val="28"/>
          <w:highlight w:val="white"/>
        </w:rPr>
        <w:t xml:space="preserve">с.Криводановка</w:t>
      </w:r>
      <w:r>
        <w:rPr>
          <w:sz w:val="28"/>
          <w:highlight w:val="white"/>
        </w:rPr>
        <w:t xml:space="preserve">, </w:t>
      </w:r>
      <w:r>
        <w:rPr>
          <w:sz w:val="28"/>
          <w:highlight w:val="white"/>
        </w:rPr>
        <w:t xml:space="preserve">с.Марусино</w:t>
      </w:r>
      <w:r>
        <w:rPr>
          <w:sz w:val="28"/>
          <w:highlight w:val="white"/>
        </w:rPr>
        <w:t xml:space="preserve">, </w:t>
      </w:r>
      <w:r>
        <w:rPr>
          <w:sz w:val="28"/>
          <w:highlight w:val="white"/>
        </w:rPr>
        <w:t xml:space="preserve">п.Приобский</w:t>
      </w:r>
      <w:r>
        <w:rPr>
          <w:sz w:val="28"/>
          <w:highlight w:val="white"/>
        </w:rPr>
        <w:t xml:space="preserve">, </w:t>
      </w:r>
      <w:r>
        <w:rPr>
          <w:sz w:val="28"/>
          <w:highlight w:val="white"/>
        </w:rPr>
        <w:t xml:space="preserve">п.Юный</w:t>
      </w:r>
      <w:r>
        <w:rPr>
          <w:sz w:val="28"/>
          <w:highlight w:val="white"/>
        </w:rPr>
        <w:t xml:space="preserve"> Ленинец, </w:t>
      </w:r>
      <w:r>
        <w:rPr>
          <w:sz w:val="28"/>
          <w:highlight w:val="white"/>
        </w:rPr>
        <w:t xml:space="preserve">с.Ленинское</w:t>
      </w:r>
      <w:r>
        <w:rPr>
          <w:sz w:val="28"/>
          <w:highlight w:val="white"/>
        </w:rPr>
        <w:t xml:space="preserve">, </w:t>
      </w:r>
      <w:r>
        <w:rPr>
          <w:sz w:val="28"/>
          <w:highlight w:val="white"/>
        </w:rPr>
        <w:t xml:space="preserve">с.Новолуговое</w:t>
      </w:r>
      <w:r>
        <w:rPr>
          <w:sz w:val="28"/>
          <w:highlight w:val="white"/>
        </w:rPr>
        <w:t xml:space="preserve">, </w:t>
      </w:r>
      <w:r>
        <w:rPr>
          <w:sz w:val="28"/>
          <w:highlight w:val="white"/>
        </w:rPr>
        <w:t xml:space="preserve">п.Ленинский</w:t>
      </w:r>
      <w:r>
        <w:rPr>
          <w:sz w:val="28"/>
          <w:highlight w:val="white"/>
        </w:rPr>
        <w:t xml:space="preserve">, </w:t>
      </w:r>
      <w:r>
        <w:rPr>
          <w:sz w:val="28"/>
          <w:highlight w:val="white"/>
        </w:rPr>
        <w:t xml:space="preserve">с.Толмачево</w:t>
      </w:r>
      <w:r>
        <w:rPr>
          <w:sz w:val="28"/>
          <w:highlight w:val="white"/>
        </w:rPr>
        <w:t xml:space="preserve">, </w:t>
      </w:r>
      <w:r>
        <w:rPr>
          <w:sz w:val="28"/>
          <w:highlight w:val="white"/>
        </w:rPr>
        <w:t xml:space="preserve">ст.Мочище</w:t>
      </w:r>
      <w:r>
        <w:rPr>
          <w:sz w:val="28"/>
          <w:highlight w:val="white"/>
        </w:rPr>
        <w:t xml:space="preserve">) направлено 16,3 млн руб., что на 3,5 млн руб. больше, чем в 2022 году (12,8 млн руб). 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08"/>
        <w:jc w:val="both"/>
        <w:rPr>
          <w:sz w:val="28"/>
          <w:szCs w:val="28"/>
          <w:highlight w:val="white"/>
        </w:rPr>
      </w:pPr>
      <w:r>
        <w:rPr>
          <w:sz w:val="28"/>
          <w:highlight w:val="none"/>
        </w:rPr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pStyle w:val="966"/>
        <w:numPr>
          <w:ilvl w:val="0"/>
          <w:numId w:val="3"/>
        </w:numPr>
        <w:ind w:left="1560" w:hanging="862"/>
        <w:jc w:val="both"/>
        <w:tabs>
          <w:tab w:val="left" w:pos="10206" w:leader="none"/>
        </w:tabs>
        <w:rPr>
          <w:i w:val="0"/>
          <w:sz w:val="28"/>
        </w:rPr>
      </w:pPr>
      <w:r>
        <w:rPr>
          <w:i w:val="0"/>
          <w:sz w:val="28"/>
        </w:rPr>
        <w:t xml:space="preserve">Жилищно-коммунальное хозяйство</w:t>
      </w:r>
      <w:r>
        <w:rPr>
          <w:i w:val="0"/>
          <w:sz w:val="28"/>
        </w:rPr>
      </w:r>
      <w:r>
        <w:rPr>
          <w:i w:val="0"/>
          <w:sz w:val="28"/>
        </w:rPr>
      </w:r>
    </w:p>
    <w:p>
      <w:r/>
      <w:r/>
    </w:p>
    <w:p>
      <w:pPr>
        <w:ind w:firstLine="708"/>
        <w:rPr>
          <w:b/>
          <w:bCs/>
          <w:i/>
          <w:sz w:val="28"/>
          <w:szCs w:val="28"/>
        </w:rPr>
      </w:pPr>
      <w:r>
        <w:rPr>
          <w:b/>
          <w:i/>
          <w:sz w:val="28"/>
        </w:rPr>
        <w:t xml:space="preserve">3.1. Тепло, водоснабжение и водоотведение</w:t>
      </w:r>
      <w:r>
        <w:rPr>
          <w:b/>
          <w:bCs/>
          <w:i/>
          <w:sz w:val="28"/>
          <w:szCs w:val="28"/>
        </w:rPr>
      </w:r>
      <w:r>
        <w:rPr>
          <w:b/>
          <w:bCs/>
          <w:i/>
          <w:sz w:val="28"/>
          <w:szCs w:val="28"/>
        </w:rPr>
      </w:r>
    </w:p>
    <w:p>
      <w:pPr>
        <w:ind w:firstLine="708"/>
        <w:rPr>
          <w:b/>
          <w:bCs/>
          <w:i/>
          <w:sz w:val="28"/>
          <w:szCs w:val="28"/>
          <w:highlight w:val="yellow"/>
        </w:rPr>
      </w:pPr>
      <w:r>
        <w:rPr>
          <w:b/>
          <w:bCs/>
          <w:i/>
          <w:sz w:val="28"/>
          <w:szCs w:val="28"/>
          <w:highlight w:val="yellow"/>
        </w:rPr>
      </w:r>
      <w:r>
        <w:rPr>
          <w:b/>
          <w:bCs/>
          <w:i/>
          <w:sz w:val="28"/>
          <w:szCs w:val="28"/>
          <w:highlight w:val="yellow"/>
        </w:rPr>
      </w:r>
      <w:r>
        <w:rPr>
          <w:b/>
          <w:bCs/>
          <w:i/>
          <w:sz w:val="28"/>
          <w:szCs w:val="28"/>
          <w:highlight w:val="yellow"/>
        </w:rPr>
      </w:r>
    </w:p>
    <w:p>
      <w:pPr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В рамках границ Новосибирского района расположены 81 населенный п</w:t>
      </w:r>
      <w:r>
        <w:rPr>
          <w:sz w:val="28"/>
          <w:highlight w:val="white"/>
        </w:rPr>
        <w:t xml:space="preserve">ункт, из которых 39 обеспечены центральным теплоснабжением, 65 водоснабжением, 22 имеют централизованную канализацию и 42 газифицированы. Система теплоснабжения представлена 68 котельными, в том числе газовых – 31, угольных – 37 и тепловыми сетями – 203,3 </w:t>
      </w:r>
      <w:r>
        <w:rPr>
          <w:sz w:val="28"/>
          <w:highlight w:val="white"/>
        </w:rPr>
        <w:t xml:space="preserve">км.;</w:t>
      </w:r>
      <w:r>
        <w:rPr>
          <w:sz w:val="28"/>
          <w:highlight w:val="white"/>
        </w:rPr>
        <w:t xml:space="preserve"> водопроводных сетей –</w:t>
      </w:r>
      <w:r>
        <w:rPr>
          <w:sz w:val="28"/>
        </w:rPr>
        <w:t xml:space="preserve"> </w:t>
      </w:r>
      <w:r>
        <w:rPr>
          <w:sz w:val="28"/>
          <w:highlight w:val="white"/>
        </w:rPr>
        <w:t xml:space="preserve">578,6 км</w:t>
      </w:r>
      <w:r>
        <w:rPr>
          <w:sz w:val="28"/>
        </w:rPr>
        <w:t xml:space="preserve">,</w:t>
      </w:r>
      <w:r>
        <w:rPr>
          <w:sz w:val="28"/>
          <w:highlight w:val="white"/>
        </w:rPr>
        <w:t xml:space="preserve"> канализационных сетей</w:t>
      </w:r>
      <w:r>
        <w:rPr>
          <w:sz w:val="28"/>
        </w:rPr>
        <w:t xml:space="preserve"> </w:t>
      </w:r>
      <w:r>
        <w:rPr>
          <w:sz w:val="28"/>
          <w:highlight w:val="white"/>
        </w:rPr>
        <w:t xml:space="preserve">–</w:t>
      </w:r>
      <w:r>
        <w:rPr>
          <w:sz w:val="28"/>
        </w:rPr>
        <w:t xml:space="preserve"> </w:t>
      </w:r>
      <w:r>
        <w:rPr>
          <w:sz w:val="28"/>
          <w:highlight w:val="white"/>
        </w:rPr>
        <w:t xml:space="preserve">153,3 км.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Поставку коммунальных услуг на территории района обеспечивают </w:t>
      </w:r>
      <w:r>
        <w:rPr>
          <w:sz w:val="28"/>
          <w:highlight w:val="white"/>
        </w:rPr>
        <w:t xml:space="preserve">ресурсоснабжающие</w:t>
      </w:r>
      <w:r>
        <w:rPr>
          <w:sz w:val="28"/>
          <w:highlight w:val="white"/>
        </w:rPr>
        <w:t xml:space="preserve"> организации различных форм собственности.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В 2023 году на реализацию мероприятий подпрограммы «Безопасность жилищно-к</w:t>
      </w:r>
      <w:r>
        <w:rPr>
          <w:sz w:val="28"/>
          <w:highlight w:val="white"/>
        </w:rPr>
        <w:t xml:space="preserve">оммунального хозяйства» государственной программы «Жилищно-коммунальное хозяйство Новосибирской области» для подготовки к отопительному периоду объектов жилищно-коммунального комплекса всех муниципальных образований Новосибирского района выделены средства: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- для погашения задолженности предприятий ЖКХ – 273,9 млн руб. (в 2022 году – 264,5 млн </w:t>
      </w:r>
      <w:r>
        <w:rPr>
          <w:sz w:val="28"/>
          <w:highlight w:val="white"/>
        </w:rPr>
        <w:t xml:space="preserve">руб</w:t>
      </w:r>
      <w:r>
        <w:rPr>
          <w:sz w:val="28"/>
          <w:highlight w:val="white"/>
        </w:rPr>
        <w:t xml:space="preserve">), из них: из областного бюджета – 260,3 млн руб., из бюджета Новосибирского района –13,6 млн руб.;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- на приобретение материалов и оборудования для проведения ремонтных работ – 44,39 млн руб. (в 2022 году – 41,7 млн </w:t>
      </w:r>
      <w:r>
        <w:rPr>
          <w:sz w:val="28"/>
          <w:highlight w:val="white"/>
        </w:rPr>
        <w:t xml:space="preserve">руб</w:t>
      </w:r>
      <w:r>
        <w:rPr>
          <w:sz w:val="28"/>
          <w:highlight w:val="white"/>
        </w:rPr>
        <w:t xml:space="preserve">).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</w:rPr>
        <w:t xml:space="preserve">В</w:t>
      </w:r>
      <w:r>
        <w:rPr>
          <w:sz w:val="28"/>
          <w:szCs w:val="28"/>
          <w:highlight w:val="white"/>
        </w:rPr>
        <w:t xml:space="preserve"> рамках государственной программы «Энергосбережение и повышение энергетическ</w:t>
      </w:r>
      <w:r>
        <w:rPr>
          <w:sz w:val="28"/>
          <w:szCs w:val="28"/>
          <w:highlight w:val="white"/>
        </w:rPr>
        <w:t xml:space="preserve">ой эффективности Новосибирской области», утверждённой постановлением Правительства Новосибирской области от 16.02.2015 № 89-п, предусмотрены бюджетные ассигнования областного бюджета в размере 82,2 млн руб. на реализацию мероприятия «Строительство газовой </w:t>
      </w:r>
      <w:r>
        <w:rPr>
          <w:sz w:val="28"/>
          <w:szCs w:val="28"/>
          <w:highlight w:val="white"/>
        </w:rPr>
        <w:t xml:space="preserve">блочно</w:t>
      </w:r>
      <w:r>
        <w:rPr>
          <w:sz w:val="28"/>
          <w:szCs w:val="28"/>
          <w:highlight w:val="white"/>
        </w:rPr>
        <w:t xml:space="preserve">-модульной котельной в ст. </w:t>
      </w:r>
      <w:r>
        <w:rPr>
          <w:sz w:val="28"/>
          <w:szCs w:val="28"/>
          <w:highlight w:val="white"/>
        </w:rPr>
        <w:t xml:space="preserve">Мочище</w:t>
      </w:r>
      <w:r>
        <w:rPr>
          <w:sz w:val="28"/>
          <w:szCs w:val="28"/>
          <w:highlight w:val="white"/>
        </w:rPr>
        <w:t xml:space="preserve">»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highlight w:val="white"/>
        </w:rPr>
        <w:t xml:space="preserve">В рамках мероприятий подпрограммы «Чистая вода» государственной программы «Жилищно-коммунальное хозяйство Новосибирской области» выполнены работы: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highlight w:val="white"/>
        </w:rPr>
        <w:t xml:space="preserve">- строительство централизованной системы водоотведения с. Верх-Тула, </w:t>
      </w:r>
      <w:r>
        <w:rPr>
          <w:sz w:val="28"/>
          <w:highlight w:val="white"/>
        </w:rPr>
        <w:br/>
        <w:t xml:space="preserve">I этап, пуско-наладочные работы (435 млн руб.);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-</w:t>
      </w:r>
      <w:r>
        <w:rPr>
          <w:sz w:val="28"/>
          <w:highlight w:val="white"/>
        </w:rPr>
        <w:t xml:space="preserve"> строительство магистрального водопровода в с. </w:t>
      </w:r>
      <w:r>
        <w:rPr>
          <w:sz w:val="28"/>
          <w:highlight w:val="white"/>
        </w:rPr>
        <w:t xml:space="preserve">Барышево</w:t>
      </w:r>
      <w:r>
        <w:rPr>
          <w:sz w:val="28"/>
          <w:highlight w:val="white"/>
        </w:rPr>
        <w:t xml:space="preserve"> (97,5 млн руб.);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- строительство магистрального водопровода, </w:t>
      </w:r>
      <w:r>
        <w:rPr>
          <w:sz w:val="28"/>
          <w:szCs w:val="28"/>
          <w:highlight w:val="white"/>
        </w:rPr>
        <w:t xml:space="preserve">башень</w:t>
      </w:r>
      <w:r>
        <w:rPr>
          <w:sz w:val="28"/>
          <w:szCs w:val="28"/>
          <w:highlight w:val="white"/>
        </w:rPr>
        <w:t xml:space="preserve"> и </w:t>
      </w:r>
      <w:r>
        <w:rPr>
          <w:sz w:val="28"/>
          <w:szCs w:val="28"/>
          <w:highlight w:val="white"/>
        </w:rPr>
        <w:t xml:space="preserve">блочно</w:t>
      </w:r>
      <w:r>
        <w:rPr>
          <w:sz w:val="28"/>
          <w:szCs w:val="28"/>
          <w:highlight w:val="white"/>
        </w:rPr>
        <w:t xml:space="preserve">-модульной станции водоподготовки в п. Сосновка (87,9 млн руб.);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  <w:highlight w:val="white"/>
        </w:rPr>
        <w:t xml:space="preserve">- </w:t>
      </w:r>
      <w:r>
        <w:rPr>
          <w:sz w:val="28"/>
          <w:highlight w:val="white"/>
        </w:rPr>
        <w:t xml:space="preserve">строительство магистрального водопровода </w:t>
      </w:r>
      <w:r>
        <w:rPr>
          <w:sz w:val="28"/>
          <w:szCs w:val="28"/>
          <w:highlight w:val="white"/>
        </w:rPr>
        <w:t xml:space="preserve">в с. Ленинское, Морской сельсовет (42,4 млн руб.);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</w:rPr>
        <w:t xml:space="preserve">-</w:t>
      </w:r>
      <w:r>
        <w:rPr>
          <w:sz w:val="28"/>
          <w:szCs w:val="28"/>
          <w:highlight w:val="white"/>
        </w:rPr>
        <w:t xml:space="preserve"> строительство водопровода в микрорайоне Мирный с. Верх-Тула (26,6 млн руб.)</w:t>
      </w:r>
      <w:r>
        <w:rPr>
          <w:sz w:val="28"/>
          <w:szCs w:val="28"/>
        </w:rPr>
        <w:t xml:space="preserve">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rPr>
          <w:sz w:val="28"/>
          <w:szCs w:val="28"/>
        </w:rPr>
      </w:pPr>
      <w:r>
        <w:rPr>
          <w:sz w:val="28"/>
          <w:highlight w:val="white"/>
        </w:rPr>
        <w:t xml:space="preserve">- </w:t>
      </w:r>
      <w:r>
        <w:rPr>
          <w:sz w:val="28"/>
          <w:szCs w:val="28"/>
          <w:highlight w:val="white"/>
        </w:rPr>
        <w:t xml:space="preserve">строительство водозаборной скважины и строительство </w:t>
      </w:r>
      <w:r>
        <w:rPr>
          <w:sz w:val="28"/>
          <w:szCs w:val="28"/>
          <w:highlight w:val="white"/>
        </w:rPr>
        <w:t xml:space="preserve">блочно</w:t>
      </w:r>
      <w:r>
        <w:rPr>
          <w:sz w:val="28"/>
          <w:szCs w:val="28"/>
          <w:highlight w:val="white"/>
        </w:rPr>
        <w:t xml:space="preserve">-модульной станции водоподготовки в </w:t>
      </w:r>
      <w:r>
        <w:rPr>
          <w:sz w:val="28"/>
          <w:szCs w:val="28"/>
          <w:highlight w:val="white"/>
        </w:rPr>
        <w:t xml:space="preserve">п.Прогресс</w:t>
      </w:r>
      <w:r>
        <w:rPr>
          <w:sz w:val="28"/>
          <w:szCs w:val="28"/>
          <w:highlight w:val="white"/>
        </w:rPr>
        <w:t xml:space="preserve"> (6,5 млн руб.)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</w:rPr>
        <w:t xml:space="preserve">В стадии реализации (мероприятие перенесено на 2024 год) - </w:t>
      </w:r>
      <w:r>
        <w:rPr>
          <w:sz w:val="28"/>
          <w:highlight w:val="white"/>
        </w:rPr>
        <w:t xml:space="preserve">строительство насосной станции с системой хозяйственно-бытового водоснабжения с. Марусино (688 млн руб.)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В рамках реализации муниципальной программы «Жилищно-коммунальное хозяйство Новосибирского района Новосибирской области» выполнены следующие мероприятия: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9"/>
        <w:jc w:val="both"/>
        <w:tabs>
          <w:tab w:val="left" w:pos="0" w:leader="none"/>
          <w:tab w:val="left" w:pos="142" w:leader="none"/>
          <w:tab w:val="left" w:pos="283" w:leader="none"/>
          <w:tab w:val="left" w:pos="567" w:leader="none"/>
        </w:tabs>
        <w:rPr>
          <w:sz w:val="28"/>
          <w:szCs w:val="28"/>
          <w:highlight w:val="white"/>
        </w:rPr>
      </w:pPr>
      <w:r>
        <w:rPr>
          <w:sz w:val="28"/>
          <w:highlight w:val="white"/>
        </w:rPr>
        <w:t xml:space="preserve">- актуализация схем теплоснабжения 5 муниципальных образований Новосибирского района (Барышевский, Морской, Кудряшовский, Березовский, Мичуринский сельсоветы) на сумму 50,0 </w:t>
      </w:r>
      <w:r>
        <w:rPr>
          <w:sz w:val="28"/>
          <w:highlight w:val="white"/>
        </w:rPr>
        <w:t xml:space="preserve">тыс.руб</w:t>
      </w:r>
      <w:r>
        <w:rPr>
          <w:sz w:val="28"/>
          <w:highlight w:val="white"/>
        </w:rPr>
        <w:t xml:space="preserve">.;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pStyle w:val="898"/>
        <w:numPr>
          <w:ilvl w:val="0"/>
          <w:numId w:val="9"/>
        </w:numPr>
        <w:ind w:left="0" w:firstLine="709"/>
        <w:tabs>
          <w:tab w:val="left" w:pos="0" w:leader="none"/>
          <w:tab w:val="left" w:pos="142" w:leader="none"/>
          <w:tab w:val="left" w:pos="283" w:leader="none"/>
          <w:tab w:val="left" w:pos="567" w:leader="none"/>
          <w:tab w:val="left" w:pos="850" w:leader="none"/>
          <w:tab w:val="left" w:pos="992" w:leader="none"/>
        </w:tabs>
        <w:rPr>
          <w:szCs w:val="28"/>
          <w:highlight w:val="white"/>
        </w:rPr>
      </w:pPr>
      <w:r>
        <w:rPr>
          <w:highlight w:val="white"/>
        </w:rPr>
        <w:t xml:space="preserve">выкуп газовой котельной по адресу: </w:t>
      </w:r>
      <w:r>
        <w:rPr>
          <w:highlight w:val="white"/>
        </w:rPr>
        <w:t xml:space="preserve">д.п</w:t>
      </w:r>
      <w:r>
        <w:rPr>
          <w:highlight w:val="white"/>
        </w:rPr>
        <w:t xml:space="preserve">. </w:t>
      </w:r>
      <w:r>
        <w:rPr>
          <w:highlight w:val="white"/>
        </w:rPr>
        <w:t xml:space="preserve">Кудряшовский</w:t>
      </w:r>
      <w:r>
        <w:rPr>
          <w:highlight w:val="white"/>
        </w:rPr>
        <w:t xml:space="preserve">, ул. Береговая, 122 на </w:t>
      </w:r>
      <w:r>
        <w:rPr>
          <w:highlight w:val="white"/>
        </w:rPr>
        <w:t xml:space="preserve">сумму  3960</w:t>
      </w:r>
      <w:r>
        <w:rPr>
          <w:highlight w:val="white"/>
        </w:rPr>
        <w:t xml:space="preserve">,0 </w:t>
      </w:r>
      <w:r>
        <w:rPr>
          <w:szCs w:val="28"/>
          <w:highlight w:val="white"/>
        </w:rPr>
        <w:t xml:space="preserve">тыс.руб</w:t>
      </w:r>
      <w:r>
        <w:rPr>
          <w:szCs w:val="28"/>
          <w:highlight w:val="white"/>
        </w:rPr>
        <w:t xml:space="preserve">;</w:t>
      </w:r>
      <w:r>
        <w:rPr>
          <w:szCs w:val="28"/>
          <w:highlight w:val="white"/>
        </w:rPr>
      </w:r>
      <w:r>
        <w:rPr>
          <w:szCs w:val="28"/>
          <w:highlight w:val="white"/>
        </w:rPr>
      </w:r>
    </w:p>
    <w:p>
      <w:pPr>
        <w:pStyle w:val="898"/>
        <w:numPr>
          <w:ilvl w:val="0"/>
          <w:numId w:val="10"/>
        </w:numPr>
        <w:ind w:left="0" w:firstLine="709"/>
        <w:tabs>
          <w:tab w:val="left" w:pos="0" w:leader="none"/>
          <w:tab w:val="left" w:pos="142" w:leader="none"/>
          <w:tab w:val="left" w:pos="283" w:leader="none"/>
          <w:tab w:val="left" w:pos="567" w:leader="none"/>
          <w:tab w:val="left" w:pos="850" w:leader="none"/>
          <w:tab w:val="left" w:pos="992" w:leader="none"/>
        </w:tabs>
        <w:rPr>
          <w:szCs w:val="28"/>
          <w:highlight w:val="white"/>
        </w:rPr>
      </w:pPr>
      <w:r>
        <w:rPr>
          <w:highlight w:val="white"/>
        </w:rPr>
        <w:t xml:space="preserve">приобретение и монтаж </w:t>
      </w:r>
      <w:r>
        <w:rPr>
          <w:highlight w:val="white"/>
        </w:rPr>
        <w:t xml:space="preserve">блочно</w:t>
      </w:r>
      <w:r>
        <w:rPr>
          <w:highlight w:val="white"/>
        </w:rPr>
        <w:t xml:space="preserve">-модульной станции водоочистки производительностью 25 м3/час в п. Крупской (5800,0 </w:t>
      </w:r>
      <w:r>
        <w:rPr>
          <w:szCs w:val="28"/>
          <w:highlight w:val="white"/>
        </w:rPr>
        <w:t xml:space="preserve">тыс.руб</w:t>
      </w:r>
      <w:r>
        <w:rPr>
          <w:szCs w:val="28"/>
          <w:highlight w:val="white"/>
        </w:rPr>
        <w:t xml:space="preserve">.)</w:t>
      </w:r>
      <w:r>
        <w:rPr>
          <w:highlight w:val="white"/>
        </w:rPr>
        <w:t xml:space="preserve"> и модульной станции водоподготовки производительностью 1 м3 в п. </w:t>
      </w:r>
      <w:r>
        <w:rPr>
          <w:highlight w:val="white"/>
        </w:rPr>
        <w:t xml:space="preserve">Ломовская</w:t>
      </w:r>
      <w:r>
        <w:rPr>
          <w:highlight w:val="white"/>
        </w:rPr>
        <w:t xml:space="preserve"> Дача (2000,0 </w:t>
      </w:r>
      <w:r>
        <w:rPr>
          <w:szCs w:val="28"/>
          <w:highlight w:val="white"/>
        </w:rPr>
        <w:t xml:space="preserve">тыс.руб</w:t>
      </w:r>
      <w:r>
        <w:rPr>
          <w:szCs w:val="28"/>
          <w:highlight w:val="white"/>
        </w:rPr>
        <w:t xml:space="preserve">.);</w:t>
      </w:r>
      <w:r>
        <w:rPr>
          <w:szCs w:val="28"/>
          <w:highlight w:val="white"/>
        </w:rPr>
      </w:r>
      <w:r>
        <w:rPr>
          <w:szCs w:val="28"/>
          <w:highlight w:val="white"/>
        </w:rPr>
      </w:r>
    </w:p>
    <w:p>
      <w:pPr>
        <w:pStyle w:val="898"/>
        <w:numPr>
          <w:ilvl w:val="0"/>
          <w:numId w:val="10"/>
        </w:numPr>
        <w:ind w:left="0" w:firstLine="709"/>
        <w:tabs>
          <w:tab w:val="left" w:pos="0" w:leader="none"/>
          <w:tab w:val="left" w:pos="142" w:leader="none"/>
          <w:tab w:val="left" w:pos="283" w:leader="none"/>
          <w:tab w:val="left" w:pos="567" w:leader="none"/>
          <w:tab w:val="left" w:pos="850" w:leader="none"/>
          <w:tab w:val="left" w:pos="992" w:leader="none"/>
        </w:tabs>
        <w:rPr>
          <w:highlight w:val="white"/>
        </w:rPr>
      </w:pPr>
      <w:r>
        <w:rPr>
          <w:highlight w:val="white"/>
        </w:rPr>
        <w:t xml:space="preserve">приобретение и установка станции водоподготовки п. Ленинский (1460,0 </w:t>
      </w:r>
      <w:r>
        <w:rPr>
          <w:szCs w:val="28"/>
          <w:highlight w:val="white"/>
        </w:rPr>
        <w:t xml:space="preserve">тыс.руб</w:t>
      </w:r>
      <w:r>
        <w:rPr>
          <w:szCs w:val="28"/>
          <w:highlight w:val="white"/>
        </w:rPr>
        <w:t xml:space="preserve">.), в </w:t>
      </w:r>
      <w:r>
        <w:rPr>
          <w:highlight w:val="white"/>
        </w:rPr>
        <w:t xml:space="preserve">п. </w:t>
      </w:r>
      <w:r>
        <w:rPr>
          <w:highlight w:val="white"/>
        </w:rPr>
        <w:t xml:space="preserve">Витаминка</w:t>
      </w:r>
      <w:r>
        <w:rPr>
          <w:highlight w:val="white"/>
        </w:rPr>
        <w:t xml:space="preserve"> (1472,0 </w:t>
      </w:r>
      <w:r>
        <w:rPr>
          <w:szCs w:val="28"/>
          <w:highlight w:val="white"/>
        </w:rPr>
        <w:t xml:space="preserve">тыс.руб</w:t>
      </w:r>
      <w:r>
        <w:rPr>
          <w:szCs w:val="28"/>
          <w:highlight w:val="white"/>
        </w:rPr>
        <w:t xml:space="preserve">.);</w:t>
      </w:r>
      <w:r>
        <w:rPr>
          <w:highlight w:val="white"/>
        </w:rPr>
      </w:r>
      <w:r>
        <w:rPr>
          <w:highlight w:val="white"/>
        </w:rPr>
      </w:r>
    </w:p>
    <w:p>
      <w:pPr>
        <w:pStyle w:val="898"/>
        <w:numPr>
          <w:ilvl w:val="0"/>
          <w:numId w:val="8"/>
        </w:numPr>
        <w:ind w:left="0" w:firstLine="709"/>
        <w:tabs>
          <w:tab w:val="left" w:pos="0" w:leader="none"/>
          <w:tab w:val="left" w:pos="142" w:leader="none"/>
          <w:tab w:val="left" w:pos="283" w:leader="none"/>
          <w:tab w:val="left" w:pos="567" w:leader="none"/>
          <w:tab w:val="left" w:pos="850" w:leader="none"/>
          <w:tab w:val="left" w:pos="992" w:leader="none"/>
        </w:tabs>
        <w:rPr>
          <w:szCs w:val="28"/>
          <w:highlight w:val="white"/>
        </w:rPr>
      </w:pPr>
      <w:r>
        <w:rPr>
          <w:highlight w:val="white"/>
        </w:rPr>
        <w:t xml:space="preserve">восстановление производительности (промывка) скважин с использованием эрлифта </w:t>
      </w:r>
      <w:r>
        <w:rPr>
          <w:highlight w:val="white"/>
        </w:rPr>
        <w:t xml:space="preserve">п.Ложок</w:t>
      </w:r>
      <w:r>
        <w:rPr>
          <w:highlight w:val="white"/>
        </w:rPr>
        <w:t xml:space="preserve"> на сумму 2 400,0 </w:t>
      </w:r>
      <w:r>
        <w:rPr>
          <w:highlight w:val="white"/>
        </w:rPr>
        <w:t xml:space="preserve">тыс.руб</w:t>
      </w:r>
      <w:r>
        <w:rPr>
          <w:highlight w:val="white"/>
        </w:rPr>
        <w:t xml:space="preserve">.;</w:t>
      </w:r>
      <w:r>
        <w:rPr>
          <w:szCs w:val="28"/>
          <w:highlight w:val="white"/>
        </w:rPr>
      </w:r>
      <w:r>
        <w:rPr>
          <w:szCs w:val="28"/>
          <w:highlight w:val="white"/>
        </w:rPr>
      </w:r>
    </w:p>
    <w:p>
      <w:pPr>
        <w:pStyle w:val="898"/>
        <w:numPr>
          <w:ilvl w:val="0"/>
          <w:numId w:val="8"/>
        </w:numPr>
        <w:ind w:left="0" w:firstLine="709"/>
        <w:tabs>
          <w:tab w:val="left" w:pos="0" w:leader="none"/>
          <w:tab w:val="left" w:pos="142" w:leader="none"/>
          <w:tab w:val="left" w:pos="283" w:leader="none"/>
          <w:tab w:val="left" w:pos="567" w:leader="none"/>
          <w:tab w:val="left" w:pos="850" w:leader="none"/>
          <w:tab w:val="left" w:pos="992" w:leader="none"/>
        </w:tabs>
        <w:rPr>
          <w:szCs w:val="28"/>
          <w:highlight w:val="white"/>
        </w:rPr>
      </w:pPr>
      <w:r>
        <w:rPr>
          <w:highlight w:val="white"/>
        </w:rPr>
        <w:t xml:space="preserve">поставка строительного материала для ремонта сетей водоснабжения </w:t>
      </w:r>
      <w:r>
        <w:rPr>
          <w:highlight w:val="white"/>
        </w:rPr>
        <w:br/>
        <w:t xml:space="preserve">с. </w:t>
      </w:r>
      <w:r>
        <w:rPr>
          <w:highlight w:val="white"/>
        </w:rPr>
        <w:t xml:space="preserve">Барышево</w:t>
      </w:r>
      <w:r>
        <w:rPr>
          <w:highlight w:val="white"/>
        </w:rPr>
        <w:t xml:space="preserve"> на сумму 5 995,5 </w:t>
      </w:r>
      <w:r>
        <w:rPr>
          <w:highlight w:val="white"/>
        </w:rPr>
        <w:t xml:space="preserve">тыс.руб</w:t>
      </w:r>
      <w:r>
        <w:rPr>
          <w:highlight w:val="white"/>
        </w:rPr>
        <w:t xml:space="preserve">.;</w:t>
      </w:r>
      <w:r>
        <w:rPr>
          <w:szCs w:val="28"/>
          <w:highlight w:val="white"/>
        </w:rPr>
      </w:r>
      <w:r>
        <w:rPr>
          <w:szCs w:val="28"/>
          <w:highlight w:val="white"/>
        </w:rPr>
      </w:r>
    </w:p>
    <w:p>
      <w:pPr>
        <w:pStyle w:val="898"/>
        <w:numPr>
          <w:ilvl w:val="0"/>
          <w:numId w:val="8"/>
        </w:numPr>
        <w:ind w:left="0" w:firstLine="709"/>
        <w:tabs>
          <w:tab w:val="left" w:pos="0" w:leader="none"/>
          <w:tab w:val="left" w:pos="142" w:leader="none"/>
          <w:tab w:val="left" w:pos="283" w:leader="none"/>
          <w:tab w:val="left" w:pos="567" w:leader="none"/>
          <w:tab w:val="left" w:pos="850" w:leader="none"/>
          <w:tab w:val="left" w:pos="992" w:leader="none"/>
        </w:tabs>
        <w:rPr>
          <w:szCs w:val="28"/>
          <w:highlight w:val="white"/>
        </w:rPr>
      </w:pPr>
      <w:r>
        <w:rPr>
          <w:highlight w:val="white"/>
        </w:rPr>
        <w:t xml:space="preserve">строительство водопровода по ул. Весенняя в п. Юный Ленинец Мичуринского сельсовета на сумму 2919,7 </w:t>
      </w:r>
      <w:r>
        <w:rPr>
          <w:szCs w:val="28"/>
          <w:highlight w:val="white"/>
        </w:rPr>
        <w:t xml:space="preserve">тыс.руб</w:t>
      </w:r>
      <w:r>
        <w:rPr>
          <w:szCs w:val="28"/>
          <w:highlight w:val="white"/>
        </w:rPr>
        <w:t xml:space="preserve">;</w:t>
      </w:r>
      <w:r>
        <w:rPr>
          <w:szCs w:val="28"/>
          <w:highlight w:val="white"/>
        </w:rPr>
      </w:r>
      <w:r>
        <w:rPr>
          <w:szCs w:val="28"/>
          <w:highlight w:val="white"/>
        </w:rPr>
      </w:r>
    </w:p>
    <w:p>
      <w:pPr>
        <w:pStyle w:val="898"/>
        <w:numPr>
          <w:ilvl w:val="0"/>
          <w:numId w:val="11"/>
        </w:numPr>
        <w:ind w:left="0" w:firstLine="709"/>
        <w:tabs>
          <w:tab w:val="left" w:pos="0" w:leader="none"/>
          <w:tab w:val="left" w:pos="142" w:leader="none"/>
          <w:tab w:val="left" w:pos="283" w:leader="none"/>
          <w:tab w:val="left" w:pos="567" w:leader="none"/>
          <w:tab w:val="left" w:pos="850" w:leader="none"/>
          <w:tab w:val="left" w:pos="992" w:leader="none"/>
        </w:tabs>
        <w:rPr>
          <w:szCs w:val="28"/>
          <w:highlight w:val="white"/>
        </w:rPr>
      </w:pPr>
      <w:r>
        <w:rPr>
          <w:highlight w:val="white"/>
        </w:rPr>
        <w:t xml:space="preserve">ремонт трубопроводов и запорной арматуры системы отопления и ГВС на участке от ТК6/1 до ТК7/2 к МКД №18,23,35,36 по адресу: п. Красный Яр на сумму 1500,0 </w:t>
      </w:r>
      <w:r>
        <w:rPr>
          <w:szCs w:val="28"/>
          <w:highlight w:val="white"/>
        </w:rPr>
        <w:t xml:space="preserve">тыс.руб</w:t>
      </w:r>
      <w:r>
        <w:rPr>
          <w:szCs w:val="28"/>
          <w:highlight w:val="white"/>
        </w:rPr>
        <w:t xml:space="preserve">;</w:t>
      </w:r>
      <w:r>
        <w:rPr>
          <w:szCs w:val="28"/>
          <w:highlight w:val="white"/>
        </w:rPr>
      </w:r>
      <w:r>
        <w:rPr>
          <w:szCs w:val="28"/>
          <w:highlight w:val="white"/>
        </w:rPr>
      </w:r>
    </w:p>
    <w:p>
      <w:pPr>
        <w:pStyle w:val="898"/>
        <w:numPr>
          <w:ilvl w:val="0"/>
          <w:numId w:val="8"/>
        </w:numPr>
        <w:ind w:left="0" w:firstLine="709"/>
        <w:tabs>
          <w:tab w:val="left" w:pos="0" w:leader="none"/>
          <w:tab w:val="left" w:pos="142" w:leader="none"/>
          <w:tab w:val="left" w:pos="283" w:leader="none"/>
          <w:tab w:val="left" w:pos="567" w:leader="none"/>
          <w:tab w:val="left" w:pos="850" w:leader="none"/>
          <w:tab w:val="left" w:pos="992" w:leader="none"/>
        </w:tabs>
        <w:rPr>
          <w:szCs w:val="28"/>
          <w:highlight w:val="white"/>
        </w:rPr>
      </w:pPr>
      <w:r>
        <w:rPr>
          <w:highlight w:val="white"/>
        </w:rPr>
        <w:t xml:space="preserve">разработка ПСД с получением положительного заключения экспертизы </w:t>
      </w:r>
      <w:r>
        <w:rPr>
          <w:highlight w:val="white"/>
        </w:rPr>
        <w:t xml:space="preserve">на  «</w:t>
      </w:r>
      <w:r>
        <w:rPr>
          <w:highlight w:val="white"/>
        </w:rPr>
        <w:t xml:space="preserve">Строительство водозаборной скважины с водоподготовкой, строительство водопровода для льготной категории граждан в с. </w:t>
      </w:r>
      <w:r>
        <w:rPr>
          <w:highlight w:val="white"/>
        </w:rPr>
        <w:t xml:space="preserve">Пайвино</w:t>
      </w:r>
      <w:r>
        <w:rPr>
          <w:highlight w:val="white"/>
        </w:rPr>
        <w:t xml:space="preserve">» (4100,0 </w:t>
      </w:r>
      <w:r>
        <w:rPr>
          <w:szCs w:val="28"/>
          <w:highlight w:val="white"/>
        </w:rPr>
        <w:t xml:space="preserve">тыс.руб</w:t>
      </w:r>
      <w:r>
        <w:rPr>
          <w:szCs w:val="28"/>
          <w:highlight w:val="white"/>
        </w:rPr>
        <w:t xml:space="preserve">), </w:t>
      </w:r>
      <w:r>
        <w:rPr>
          <w:highlight w:val="white"/>
        </w:rPr>
        <w:t xml:space="preserve">«Строительство водопровода для льготной категории граждан в с. Ярково» (1480,0 </w:t>
      </w:r>
      <w:r>
        <w:rPr>
          <w:szCs w:val="28"/>
          <w:highlight w:val="white"/>
        </w:rPr>
        <w:t xml:space="preserve">тыс.руб</w:t>
      </w:r>
      <w:r>
        <w:rPr>
          <w:szCs w:val="28"/>
        </w:rPr>
        <w:t xml:space="preserve">),</w:t>
      </w:r>
      <w:r>
        <w:t xml:space="preserve"> </w:t>
      </w:r>
      <w:r>
        <w:rPr>
          <w:highlight w:val="white"/>
        </w:rPr>
        <w:t xml:space="preserve">«Реконструкция сетей водоснабжения п. Сосновка, а также выполнение указанных строительных работ» </w:t>
      </w:r>
      <w:r>
        <w:rPr>
          <w:highlight w:val="white"/>
        </w:rPr>
        <w:t xml:space="preserve">Кубовинского</w:t>
      </w:r>
      <w:r>
        <w:rPr>
          <w:highlight w:val="white"/>
        </w:rPr>
        <w:t xml:space="preserve"> сельсовета (2393,0 </w:t>
      </w:r>
      <w:r>
        <w:rPr>
          <w:szCs w:val="28"/>
          <w:highlight w:val="white"/>
        </w:rPr>
        <w:t xml:space="preserve">тыс.руб</w:t>
      </w:r>
      <w:r>
        <w:rPr>
          <w:szCs w:val="28"/>
          <w:highlight w:val="white"/>
        </w:rPr>
        <w:t xml:space="preserve">.);</w:t>
      </w:r>
      <w:r>
        <w:rPr>
          <w:szCs w:val="28"/>
        </w:rPr>
        <w:t xml:space="preserve"> </w:t>
      </w:r>
      <w:r>
        <w:rPr>
          <w:szCs w:val="28"/>
          <w:highlight w:val="white"/>
        </w:rPr>
        <w:t xml:space="preserve">;</w:t>
      </w:r>
      <w:r>
        <w:rPr>
          <w:szCs w:val="28"/>
          <w:highlight w:val="white"/>
        </w:rPr>
      </w:r>
      <w:r>
        <w:rPr>
          <w:szCs w:val="28"/>
          <w:highlight w:val="white"/>
        </w:rPr>
      </w:r>
    </w:p>
    <w:p>
      <w:pPr>
        <w:pStyle w:val="898"/>
        <w:numPr>
          <w:ilvl w:val="0"/>
          <w:numId w:val="8"/>
        </w:numPr>
        <w:ind w:left="0" w:firstLine="709"/>
        <w:tabs>
          <w:tab w:val="left" w:pos="0" w:leader="none"/>
          <w:tab w:val="left" w:pos="142" w:leader="none"/>
          <w:tab w:val="left" w:pos="283" w:leader="none"/>
          <w:tab w:val="left" w:pos="567" w:leader="none"/>
          <w:tab w:val="left" w:pos="850" w:leader="none"/>
          <w:tab w:val="left" w:pos="992" w:leader="none"/>
        </w:tabs>
        <w:rPr>
          <w:szCs w:val="28"/>
          <w:highlight w:val="white"/>
        </w:rPr>
      </w:pPr>
      <w:r>
        <w:rPr>
          <w:highlight w:val="white"/>
        </w:rPr>
        <w:t xml:space="preserve">выполнение строительно-монтажных работ в рамках разработанных проектно-сметной документации по водоснабжению льготной категории граждан (с. Ярково, с. </w:t>
      </w:r>
      <w:r>
        <w:rPr>
          <w:highlight w:val="white"/>
        </w:rPr>
        <w:t xml:space="preserve">Пайвино</w:t>
      </w:r>
      <w:r>
        <w:rPr>
          <w:highlight w:val="white"/>
        </w:rPr>
        <w:t xml:space="preserve">)  на</w:t>
      </w:r>
      <w:r>
        <w:rPr>
          <w:highlight w:val="white"/>
        </w:rPr>
        <w:t xml:space="preserve"> сумму 36 048,8 </w:t>
      </w:r>
      <w:r>
        <w:rPr>
          <w:szCs w:val="28"/>
          <w:highlight w:val="white"/>
        </w:rPr>
        <w:t xml:space="preserve">тыс.руб</w:t>
      </w:r>
      <w:r>
        <w:rPr>
          <w:szCs w:val="28"/>
          <w:highlight w:val="white"/>
        </w:rPr>
        <w:t xml:space="preserve">.;</w:t>
      </w:r>
      <w:r>
        <w:rPr>
          <w:szCs w:val="28"/>
          <w:highlight w:val="white"/>
        </w:rPr>
      </w:r>
      <w:r>
        <w:rPr>
          <w:szCs w:val="28"/>
          <w:highlight w:val="white"/>
        </w:rPr>
      </w:r>
    </w:p>
    <w:p>
      <w:pPr>
        <w:pStyle w:val="898"/>
        <w:numPr>
          <w:ilvl w:val="0"/>
          <w:numId w:val="8"/>
        </w:numPr>
        <w:ind w:left="0" w:firstLine="709"/>
        <w:tabs>
          <w:tab w:val="left" w:pos="0" w:leader="none"/>
          <w:tab w:val="left" w:pos="142" w:leader="none"/>
          <w:tab w:val="left" w:pos="283" w:leader="none"/>
          <w:tab w:val="left" w:pos="567" w:leader="none"/>
          <w:tab w:val="left" w:pos="850" w:leader="none"/>
          <w:tab w:val="left" w:pos="992" w:leader="none"/>
        </w:tabs>
        <w:rPr>
          <w:szCs w:val="28"/>
          <w:highlight w:val="white"/>
        </w:rPr>
      </w:pPr>
      <w:r>
        <w:rPr>
          <w:highlight w:val="white"/>
        </w:rPr>
        <w:t xml:space="preserve">геофизические изыскания с. </w:t>
      </w:r>
      <w:r>
        <w:rPr>
          <w:highlight w:val="white"/>
        </w:rPr>
        <w:t xml:space="preserve">Пайвино</w:t>
      </w:r>
      <w:r>
        <w:rPr>
          <w:highlight w:val="white"/>
        </w:rPr>
        <w:t xml:space="preserve"> на сумму 200,0 </w:t>
      </w:r>
      <w:r>
        <w:rPr>
          <w:szCs w:val="28"/>
          <w:highlight w:val="white"/>
        </w:rPr>
        <w:t xml:space="preserve">тыс.руб</w:t>
      </w:r>
      <w:r>
        <w:rPr>
          <w:szCs w:val="28"/>
          <w:highlight w:val="white"/>
        </w:rPr>
        <w:t xml:space="preserve">;</w:t>
      </w:r>
      <w:r>
        <w:rPr>
          <w:szCs w:val="28"/>
          <w:highlight w:val="white"/>
        </w:rPr>
      </w:r>
      <w:r>
        <w:rPr>
          <w:szCs w:val="28"/>
          <w:highlight w:val="white"/>
        </w:rPr>
      </w:r>
    </w:p>
    <w:p>
      <w:pPr>
        <w:pStyle w:val="898"/>
        <w:numPr>
          <w:ilvl w:val="0"/>
          <w:numId w:val="8"/>
        </w:numPr>
        <w:ind w:left="0" w:firstLine="709"/>
        <w:tabs>
          <w:tab w:val="left" w:pos="0" w:leader="none"/>
          <w:tab w:val="left" w:pos="142" w:leader="none"/>
          <w:tab w:val="left" w:pos="283" w:leader="none"/>
          <w:tab w:val="left" w:pos="567" w:leader="none"/>
          <w:tab w:val="left" w:pos="850" w:leader="none"/>
          <w:tab w:val="left" w:pos="992" w:leader="none"/>
        </w:tabs>
        <w:rPr>
          <w:szCs w:val="28"/>
          <w:highlight w:val="white"/>
        </w:rPr>
      </w:pPr>
      <w:r>
        <w:rPr>
          <w:highlight w:val="white"/>
        </w:rPr>
        <w:t xml:space="preserve">корректировка ПСД по 3 объектам («Строительство, реконструкция и капитальный ремонт систем водоснабжения и водоотведения населенных пунктов </w:t>
      </w:r>
      <w:r>
        <w:rPr>
          <w:highlight w:val="white"/>
        </w:rPr>
        <w:t xml:space="preserve">Барышевского</w:t>
      </w:r>
      <w:r>
        <w:rPr>
          <w:highlight w:val="white"/>
        </w:rPr>
        <w:t xml:space="preserve"> сельсовета: Строительство магистрального водопровода в с. </w:t>
      </w:r>
      <w:r>
        <w:rPr>
          <w:highlight w:val="white"/>
        </w:rPr>
        <w:t xml:space="preserve">Барышево</w:t>
      </w:r>
      <w:r>
        <w:rPr>
          <w:highlight w:val="white"/>
        </w:rPr>
        <w:t xml:space="preserve">» с получением положительного заключения экспертизы» - 3387,0 </w:t>
      </w:r>
      <w:r>
        <w:rPr>
          <w:szCs w:val="28"/>
          <w:highlight w:val="white"/>
        </w:rPr>
        <w:t xml:space="preserve">тыс.руб</w:t>
      </w:r>
      <w:r>
        <w:rPr>
          <w:szCs w:val="28"/>
          <w:highlight w:val="white"/>
        </w:rPr>
        <w:t xml:space="preserve">, </w:t>
      </w:r>
      <w:r>
        <w:rPr>
          <w:highlight w:val="white"/>
        </w:rPr>
        <w:t xml:space="preserve">«Строительство, реконструкция и капитальный ремонт систем водоснабжения и водоотведения населенных пунктов </w:t>
      </w:r>
      <w:r>
        <w:rPr>
          <w:highlight w:val="white"/>
        </w:rPr>
        <w:t xml:space="preserve">Барышевского</w:t>
      </w:r>
      <w:r>
        <w:rPr>
          <w:highlight w:val="white"/>
        </w:rPr>
        <w:t xml:space="preserve"> сельсовета: Строительство напорного коллектора и камеры гашения напора в </w:t>
      </w:r>
      <w:r>
        <w:rPr>
          <w:highlight w:val="white"/>
        </w:rPr>
        <w:t xml:space="preserve">с.Барышево</w:t>
      </w:r>
      <w:r>
        <w:rPr>
          <w:highlight w:val="white"/>
        </w:rPr>
        <w:t xml:space="preserve">» с получением положительного заключения государственной экспертизы проектно-сметной документации» - 500,0 </w:t>
      </w:r>
      <w:r>
        <w:rPr>
          <w:szCs w:val="28"/>
          <w:highlight w:val="white"/>
        </w:rPr>
        <w:t xml:space="preserve">тыс. руб., </w:t>
      </w:r>
      <w:r>
        <w:rPr>
          <w:highlight w:val="white"/>
        </w:rPr>
        <w:t xml:space="preserve">«Канализационный коллектор» (самотечная и напорная части) «Магистральные сети водоо</w:t>
      </w:r>
      <w:r>
        <w:rPr>
          <w:highlight w:val="white"/>
        </w:rPr>
        <w:t xml:space="preserve">тведения в п. Садовый Станционного сельсовета» и разработка ПСД для строительства сетей водоотведения для льготной категории граждан в п. Садовый Станционного сельсовета с получением положительного заключения  государственной экспертизы на сумму» - 2118,0 </w:t>
      </w:r>
      <w:r>
        <w:rPr>
          <w:szCs w:val="28"/>
          <w:highlight w:val="white"/>
        </w:rPr>
        <w:t xml:space="preserve">тыс.руб</w:t>
      </w:r>
      <w:r>
        <w:rPr>
          <w:szCs w:val="28"/>
          <w:highlight w:val="white"/>
        </w:rPr>
        <w:t xml:space="preserve">.</w:t>
      </w:r>
      <w:r>
        <w:rPr>
          <w:szCs w:val="28"/>
        </w:rPr>
        <w:t xml:space="preserve">)</w:t>
      </w:r>
      <w:r>
        <w:rPr>
          <w:szCs w:val="28"/>
          <w:highlight w:val="white"/>
        </w:rPr>
        <w:t xml:space="preserve">;</w:t>
      </w:r>
      <w:r>
        <w:rPr>
          <w:szCs w:val="28"/>
          <w:highlight w:val="white"/>
        </w:rPr>
      </w:r>
      <w:r>
        <w:rPr>
          <w:szCs w:val="28"/>
          <w:highlight w:val="white"/>
        </w:rPr>
      </w:r>
    </w:p>
    <w:p>
      <w:pPr>
        <w:pStyle w:val="898"/>
        <w:numPr>
          <w:ilvl w:val="0"/>
          <w:numId w:val="8"/>
        </w:numPr>
        <w:ind w:left="0" w:firstLine="709"/>
        <w:tabs>
          <w:tab w:val="left" w:pos="0" w:leader="none"/>
          <w:tab w:val="left" w:pos="142" w:leader="none"/>
          <w:tab w:val="left" w:pos="283" w:leader="none"/>
          <w:tab w:val="left" w:pos="567" w:leader="none"/>
          <w:tab w:val="left" w:pos="850" w:leader="none"/>
          <w:tab w:val="left" w:pos="992" w:leader="none"/>
        </w:tabs>
        <w:rPr>
          <w:szCs w:val="28"/>
          <w:highlight w:val="white"/>
        </w:rPr>
      </w:pPr>
      <w:r>
        <w:rPr>
          <w:highlight w:val="white"/>
        </w:rPr>
        <w:t xml:space="preserve">технологическое присоединение для электроснабжения водозаборной скважины с модульной станцией водоподготовки с. </w:t>
      </w:r>
      <w:r>
        <w:rPr>
          <w:highlight w:val="white"/>
        </w:rPr>
        <w:t xml:space="preserve">Пайвино</w:t>
      </w:r>
      <w:r>
        <w:rPr>
          <w:highlight w:val="white"/>
        </w:rPr>
        <w:t xml:space="preserve"> (250,0 </w:t>
      </w:r>
      <w:r>
        <w:rPr>
          <w:szCs w:val="28"/>
          <w:highlight w:val="white"/>
        </w:rPr>
        <w:t xml:space="preserve">тыс. руб.), а также</w:t>
      </w:r>
      <w:r>
        <w:rPr>
          <w:highlight w:val="white"/>
        </w:rPr>
        <w:t xml:space="preserve"> тех. присоединение к электрическим сетям для объекта «Скважина с установкой блочного модуля </w:t>
      </w:r>
      <w:r>
        <w:rPr>
          <w:highlight w:val="white"/>
        </w:rPr>
        <w:t xml:space="preserve">химводоотчистки</w:t>
      </w:r>
      <w:r>
        <w:rPr>
          <w:highlight w:val="white"/>
        </w:rPr>
        <w:t xml:space="preserve"> в п. Железнодорожный (213,0 </w:t>
      </w:r>
      <w:r>
        <w:rPr>
          <w:szCs w:val="28"/>
          <w:highlight w:val="white"/>
        </w:rPr>
        <w:t xml:space="preserve">тыс.руб</w:t>
      </w:r>
      <w:r>
        <w:rPr>
          <w:szCs w:val="28"/>
          <w:highlight w:val="white"/>
        </w:rPr>
        <w:t xml:space="preserve">);</w:t>
      </w:r>
      <w:r>
        <w:rPr>
          <w:szCs w:val="28"/>
          <w:highlight w:val="white"/>
        </w:rPr>
      </w:r>
      <w:r>
        <w:rPr>
          <w:szCs w:val="28"/>
          <w:highlight w:val="white"/>
        </w:rPr>
      </w:r>
    </w:p>
    <w:p>
      <w:pPr>
        <w:pStyle w:val="898"/>
        <w:numPr>
          <w:ilvl w:val="0"/>
          <w:numId w:val="8"/>
        </w:numPr>
        <w:ind w:left="0" w:firstLine="709"/>
        <w:tabs>
          <w:tab w:val="left" w:pos="0" w:leader="none"/>
          <w:tab w:val="left" w:pos="142" w:leader="none"/>
          <w:tab w:val="left" w:pos="283" w:leader="none"/>
          <w:tab w:val="left" w:pos="567" w:leader="none"/>
          <w:tab w:val="left" w:pos="850" w:leader="none"/>
          <w:tab w:val="left" w:pos="992" w:leader="none"/>
        </w:tabs>
        <w:rPr>
          <w:szCs w:val="28"/>
          <w:highlight w:val="white"/>
        </w:rPr>
      </w:pPr>
      <w:r>
        <w:rPr>
          <w:highlight w:val="white"/>
        </w:rPr>
        <w:t xml:space="preserve">выполнение работ по проведению гидравлического расчета централизованной системы холодного водоснабжения </w:t>
      </w:r>
      <w:r>
        <w:rPr>
          <w:highlight w:val="white"/>
        </w:rPr>
        <w:t xml:space="preserve">п.Ложок</w:t>
      </w:r>
      <w:r>
        <w:rPr>
          <w:highlight w:val="white"/>
        </w:rPr>
        <w:t xml:space="preserve"> </w:t>
      </w:r>
      <w:r>
        <w:rPr>
          <w:highlight w:val="white"/>
        </w:rPr>
        <w:t xml:space="preserve">Барышевского</w:t>
      </w:r>
      <w:r>
        <w:rPr>
          <w:highlight w:val="white"/>
        </w:rPr>
        <w:t xml:space="preserve"> сельсовета на сумму 580,0 </w:t>
      </w:r>
      <w:r>
        <w:rPr>
          <w:szCs w:val="28"/>
          <w:highlight w:val="white"/>
        </w:rPr>
        <w:t xml:space="preserve">тыс.руб</w:t>
      </w:r>
      <w:r>
        <w:rPr>
          <w:szCs w:val="28"/>
          <w:highlight w:val="white"/>
        </w:rPr>
        <w:t xml:space="preserve">;</w:t>
      </w:r>
      <w:r>
        <w:rPr>
          <w:szCs w:val="28"/>
          <w:highlight w:val="white"/>
        </w:rPr>
      </w:r>
      <w:r>
        <w:rPr>
          <w:szCs w:val="28"/>
          <w:highlight w:val="white"/>
        </w:rPr>
      </w:r>
    </w:p>
    <w:p>
      <w:pPr>
        <w:pStyle w:val="898"/>
        <w:numPr>
          <w:ilvl w:val="0"/>
          <w:numId w:val="8"/>
        </w:numPr>
        <w:ind w:left="0" w:firstLine="709"/>
        <w:tabs>
          <w:tab w:val="left" w:pos="0" w:leader="none"/>
          <w:tab w:val="left" w:pos="142" w:leader="none"/>
          <w:tab w:val="left" w:pos="283" w:leader="none"/>
          <w:tab w:val="left" w:pos="567" w:leader="none"/>
          <w:tab w:val="left" w:pos="850" w:leader="none"/>
          <w:tab w:val="left" w:pos="992" w:leader="none"/>
        </w:tabs>
        <w:rPr>
          <w:szCs w:val="28"/>
          <w:highlight w:val="white"/>
        </w:rPr>
      </w:pPr>
      <w:r>
        <w:rPr>
          <w:highlight w:val="white"/>
        </w:rPr>
        <w:t xml:space="preserve">выполнение работ по проведению поисковых гидрогеологических работ на участке «Ложок - Южный» для локализации скважинного водозабора в </w:t>
      </w:r>
      <w:r>
        <w:rPr>
          <w:highlight w:val="white"/>
        </w:rPr>
        <w:t xml:space="preserve">п.Ложок</w:t>
      </w:r>
      <w:r>
        <w:rPr>
          <w:highlight w:val="white"/>
        </w:rPr>
        <w:t xml:space="preserve"> </w:t>
      </w:r>
      <w:r>
        <w:rPr>
          <w:highlight w:val="white"/>
        </w:rPr>
        <w:t xml:space="preserve">Барышевского</w:t>
      </w:r>
      <w:r>
        <w:rPr>
          <w:highlight w:val="white"/>
        </w:rPr>
        <w:t xml:space="preserve"> сельсовета на сумму 300,0 </w:t>
      </w:r>
      <w:r>
        <w:rPr>
          <w:szCs w:val="28"/>
          <w:highlight w:val="white"/>
        </w:rPr>
        <w:t xml:space="preserve">тыс.руб</w:t>
      </w:r>
      <w:r>
        <w:rPr>
          <w:szCs w:val="28"/>
          <w:highlight w:val="white"/>
        </w:rPr>
        <w:t xml:space="preserve">;</w:t>
      </w:r>
      <w:r>
        <w:rPr>
          <w:szCs w:val="28"/>
          <w:highlight w:val="white"/>
        </w:rPr>
      </w:r>
      <w:r>
        <w:rPr>
          <w:szCs w:val="28"/>
          <w:highlight w:val="white"/>
        </w:rPr>
      </w:r>
    </w:p>
    <w:p>
      <w:pPr>
        <w:pStyle w:val="898"/>
        <w:numPr>
          <w:ilvl w:val="0"/>
          <w:numId w:val="8"/>
        </w:numPr>
        <w:ind w:left="0" w:firstLine="709"/>
        <w:tabs>
          <w:tab w:val="left" w:pos="0" w:leader="none"/>
          <w:tab w:val="left" w:pos="142" w:leader="none"/>
          <w:tab w:val="left" w:pos="283" w:leader="none"/>
          <w:tab w:val="left" w:pos="567" w:leader="none"/>
          <w:tab w:val="left" w:pos="850" w:leader="none"/>
          <w:tab w:val="left" w:pos="992" w:leader="none"/>
        </w:tabs>
        <w:rPr>
          <w:szCs w:val="28"/>
          <w:highlight w:val="white"/>
        </w:rPr>
      </w:pPr>
      <w:r>
        <w:rPr>
          <w:highlight w:val="white"/>
        </w:rPr>
        <w:t xml:space="preserve">приобретение экскаватора в </w:t>
      </w:r>
      <w:r>
        <w:rPr>
          <w:highlight w:val="white"/>
        </w:rPr>
        <w:t xml:space="preserve">Ярковском</w:t>
      </w:r>
      <w:r>
        <w:rPr>
          <w:highlight w:val="white"/>
        </w:rPr>
        <w:t xml:space="preserve"> с/с на сумму 4050,0 </w:t>
      </w:r>
      <w:r>
        <w:rPr>
          <w:szCs w:val="28"/>
          <w:highlight w:val="white"/>
        </w:rPr>
        <w:t xml:space="preserve">тыс.руб</w:t>
      </w:r>
      <w:r>
        <w:rPr>
          <w:szCs w:val="28"/>
          <w:highlight w:val="white"/>
        </w:rPr>
        <w:t xml:space="preserve">;</w:t>
      </w:r>
      <w:r>
        <w:rPr>
          <w:highlight w:val="white"/>
        </w:rPr>
        <w:t xml:space="preserve"> </w:t>
      </w:r>
      <w:r>
        <w:rPr>
          <w:szCs w:val="28"/>
          <w:highlight w:val="white"/>
        </w:rPr>
      </w:r>
      <w:r>
        <w:rPr>
          <w:szCs w:val="28"/>
          <w:highlight w:val="white"/>
        </w:rPr>
      </w:r>
    </w:p>
    <w:p>
      <w:pPr>
        <w:pStyle w:val="898"/>
        <w:numPr>
          <w:ilvl w:val="0"/>
          <w:numId w:val="8"/>
        </w:numPr>
        <w:ind w:left="0" w:firstLine="709"/>
        <w:tabs>
          <w:tab w:val="left" w:pos="0" w:leader="none"/>
          <w:tab w:val="left" w:pos="142" w:leader="none"/>
          <w:tab w:val="left" w:pos="283" w:leader="none"/>
          <w:tab w:val="left" w:pos="567" w:leader="none"/>
          <w:tab w:val="left" w:pos="850" w:leader="none"/>
          <w:tab w:val="left" w:pos="992" w:leader="none"/>
        </w:tabs>
        <w:rPr>
          <w:szCs w:val="28"/>
          <w:highlight w:val="white"/>
        </w:rPr>
      </w:pPr>
      <w:r>
        <w:rPr>
          <w:highlight w:val="white"/>
        </w:rPr>
        <w:t xml:space="preserve">благоустройство парка в с. </w:t>
      </w:r>
      <w:r>
        <w:rPr>
          <w:highlight w:val="white"/>
        </w:rPr>
        <w:t xml:space="preserve">Жеребцово</w:t>
      </w:r>
      <w:r>
        <w:rPr>
          <w:highlight w:val="white"/>
        </w:rPr>
        <w:t xml:space="preserve"> на сумму 4225,0 </w:t>
      </w:r>
      <w:r>
        <w:rPr>
          <w:szCs w:val="28"/>
          <w:highlight w:val="white"/>
        </w:rPr>
        <w:t xml:space="preserve">тыс.руб</w:t>
      </w:r>
      <w:r>
        <w:rPr>
          <w:szCs w:val="28"/>
          <w:highlight w:val="white"/>
        </w:rPr>
        <w:t xml:space="preserve">.</w:t>
      </w:r>
      <w:r>
        <w:rPr>
          <w:szCs w:val="28"/>
          <w:highlight w:val="white"/>
        </w:rPr>
      </w:r>
      <w:r>
        <w:rPr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highlight w:val="white"/>
        </w:rPr>
        <w:t xml:space="preserve">Кроме того, в 2023 году в рамках государственной программы «Комплексное развитие сельских территорий в Новосибирской области» по направлению «современный облик се</w:t>
      </w:r>
      <w:r>
        <w:rPr>
          <w:sz w:val="28"/>
          <w:highlight w:val="white"/>
        </w:rPr>
        <w:t xml:space="preserve">льских территорий» проведены работы по реконструкции водопроводных сетей в с. Толмачево (1 этап) стоимостью 161 млн руб. Окончание работ (2 этап) будет реализован в 2024 году (140 млн руб.). Общая протяженность реконструируемого водопровода составит 25 км.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none"/>
        </w:rPr>
      </w:pPr>
      <w:r>
        <w:rPr>
          <w:sz w:val="28"/>
          <w:highlight w:val="white"/>
        </w:rPr>
        <w:t xml:space="preserve">Также, положительным результатом работы 2023 года в сфере жилищно-коммунального хозяйства стало получение 16 муниципальными образованиями Новосибирского района паспортов готовности к отопительному сезону </w:t>
      </w:r>
      <w:r>
        <w:rPr>
          <w:sz w:val="28"/>
          <w:highlight w:val="white"/>
        </w:rPr>
        <w:br/>
        <w:t xml:space="preserve">2023-2024 годов (</w:t>
      </w:r>
      <w:r>
        <w:rPr>
          <w:sz w:val="28"/>
          <w:highlight w:val="white"/>
        </w:rPr>
        <w:t xml:space="preserve">Новолуговской</w:t>
      </w:r>
      <w:r>
        <w:rPr>
          <w:sz w:val="28"/>
          <w:highlight w:val="white"/>
        </w:rPr>
        <w:t xml:space="preserve"> и </w:t>
      </w:r>
      <w:r>
        <w:rPr>
          <w:sz w:val="28"/>
          <w:highlight w:val="white"/>
        </w:rPr>
        <w:t xml:space="preserve">Плотниковский</w:t>
      </w:r>
      <w:r>
        <w:rPr>
          <w:sz w:val="28"/>
          <w:highlight w:val="white"/>
        </w:rPr>
        <w:t xml:space="preserve"> сельсоветы не имеют централизованных систем теплоснабжения, поэтому паспорта готовности не получали).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highlight w:val="none"/>
        </w:rPr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8"/>
        <w:jc w:val="both"/>
        <w:rPr>
          <w:b/>
          <w:bCs/>
          <w:i/>
          <w:sz w:val="28"/>
          <w:szCs w:val="28"/>
        </w:rPr>
      </w:pPr>
      <w:r>
        <w:rPr>
          <w:b/>
          <w:i/>
          <w:sz w:val="28"/>
        </w:rPr>
        <w:t xml:space="preserve">3.2. Газификация</w:t>
      </w:r>
      <w:r>
        <w:rPr>
          <w:b/>
          <w:bCs/>
          <w:i/>
          <w:sz w:val="28"/>
          <w:szCs w:val="28"/>
        </w:rPr>
      </w:r>
      <w:r>
        <w:rPr>
          <w:b/>
          <w:bCs/>
          <w:i/>
          <w:sz w:val="28"/>
          <w:szCs w:val="28"/>
        </w:rPr>
      </w:r>
    </w:p>
    <w:p>
      <w:pPr>
        <w:ind w:firstLine="708"/>
        <w:jc w:val="both"/>
        <w:rPr>
          <w:b/>
          <w:bCs/>
          <w:i/>
          <w:sz w:val="28"/>
          <w:szCs w:val="28"/>
        </w:rPr>
      </w:pPr>
      <w:r>
        <w:rPr>
          <w:b/>
          <w:bCs/>
          <w:i/>
          <w:sz w:val="28"/>
          <w:szCs w:val="28"/>
        </w:rPr>
      </w:r>
      <w:r>
        <w:rPr>
          <w:b/>
          <w:bCs/>
          <w:i/>
          <w:sz w:val="28"/>
          <w:szCs w:val="28"/>
        </w:rPr>
      </w:r>
      <w:r>
        <w:rPr>
          <w:b/>
          <w:bCs/>
          <w:i/>
          <w:sz w:val="28"/>
          <w:szCs w:val="28"/>
        </w:rPr>
      </w:r>
    </w:p>
    <w:p>
      <w:pPr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Новосибирский район стабильно занимает второе мес</w:t>
      </w:r>
      <w:r>
        <w:rPr>
          <w:sz w:val="28"/>
          <w:highlight w:val="white"/>
        </w:rPr>
        <w:t xml:space="preserve">то после города Новосибирска и первое среди районов области по темпам газификации. </w:t>
      </w:r>
      <w:r>
        <w:rPr>
          <w:sz w:val="28"/>
          <w:highlight w:val="white"/>
        </w:rPr>
        <w:t xml:space="preserve">Из 78 населенных пунктов 42 имеют газ. Полностью газифицированы Верх-</w:t>
      </w:r>
      <w:r>
        <w:rPr>
          <w:sz w:val="28"/>
          <w:highlight w:val="white"/>
        </w:rPr>
        <w:t xml:space="preserve">Тулинский</w:t>
      </w:r>
      <w:r>
        <w:rPr>
          <w:sz w:val="28"/>
          <w:highlight w:val="white"/>
        </w:rPr>
        <w:t xml:space="preserve">, </w:t>
      </w:r>
      <w:r>
        <w:rPr>
          <w:sz w:val="28"/>
          <w:highlight w:val="white"/>
        </w:rPr>
        <w:t xml:space="preserve">Кудряшовский</w:t>
      </w:r>
      <w:r>
        <w:rPr>
          <w:sz w:val="28"/>
          <w:highlight w:val="white"/>
        </w:rPr>
        <w:t xml:space="preserve">, </w:t>
      </w:r>
      <w:r>
        <w:rPr>
          <w:sz w:val="28"/>
          <w:highlight w:val="white"/>
        </w:rPr>
        <w:t xml:space="preserve">Криводановский</w:t>
      </w:r>
      <w:r>
        <w:rPr>
          <w:sz w:val="28"/>
          <w:highlight w:val="white"/>
        </w:rPr>
        <w:t xml:space="preserve">, Морской, </w:t>
      </w:r>
      <w:r>
        <w:rPr>
          <w:sz w:val="28"/>
          <w:highlight w:val="white"/>
        </w:rPr>
        <w:t xml:space="preserve">Мочищенский</w:t>
      </w:r>
      <w:r>
        <w:rPr>
          <w:sz w:val="28"/>
          <w:highlight w:val="white"/>
        </w:rPr>
        <w:t xml:space="preserve"> сельсоветы, </w:t>
      </w:r>
      <w:r>
        <w:rPr>
          <w:sz w:val="28"/>
          <w:highlight w:val="white"/>
        </w:rPr>
        <w:t xml:space="preserve">Барышевский</w:t>
      </w:r>
      <w:r>
        <w:rPr>
          <w:sz w:val="28"/>
          <w:highlight w:val="white"/>
        </w:rPr>
        <w:t xml:space="preserve"> за исключением станции </w:t>
      </w:r>
      <w:r>
        <w:rPr>
          <w:sz w:val="28"/>
          <w:highlight w:val="white"/>
        </w:rPr>
        <w:t xml:space="preserve">Издревая</w:t>
      </w:r>
      <w:r>
        <w:rPr>
          <w:sz w:val="28"/>
          <w:highlight w:val="white"/>
        </w:rPr>
        <w:t xml:space="preserve">, п. Ключи, Каменский за исключением п. Советский, </w:t>
      </w:r>
      <w:r>
        <w:rPr>
          <w:sz w:val="28"/>
          <w:highlight w:val="white"/>
        </w:rPr>
        <w:t xml:space="preserve">Толмачёвский</w:t>
      </w:r>
      <w:r>
        <w:rPr>
          <w:sz w:val="28"/>
          <w:highlight w:val="white"/>
        </w:rPr>
        <w:t xml:space="preserve"> за исключением п. </w:t>
      </w:r>
      <w:r>
        <w:rPr>
          <w:sz w:val="28"/>
          <w:highlight w:val="white"/>
        </w:rPr>
        <w:t xml:space="preserve">Новоозерный</w:t>
      </w:r>
      <w:r>
        <w:rPr>
          <w:sz w:val="28"/>
          <w:highlight w:val="white"/>
        </w:rPr>
        <w:t xml:space="preserve">. 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highlight w:val="white"/>
        </w:rPr>
        <w:t xml:space="preserve">В целях </w:t>
      </w:r>
      <w:r>
        <w:rPr>
          <w:sz w:val="28"/>
          <w:highlight w:val="white"/>
        </w:rPr>
        <w:t xml:space="preserve">догазификации</w:t>
      </w:r>
      <w:r>
        <w:rPr>
          <w:sz w:val="28"/>
          <w:highlight w:val="white"/>
        </w:rPr>
        <w:t xml:space="preserve"> населенных пунктов Новосибирского района администрацией района совместно с сельским</w:t>
      </w:r>
      <w:r>
        <w:rPr>
          <w:sz w:val="28"/>
          <w:highlight w:val="white"/>
        </w:rPr>
        <w:t xml:space="preserve">и советами была проведена работа по формированию перечня домовладений, планируемых к подключению к газораспределительным сетям в 2021 – 2024 годах. Перечень согласован с газораспределительными организациями Новосибирского района, министерством жилищно-комм</w:t>
      </w:r>
      <w:r>
        <w:rPr>
          <w:sz w:val="28"/>
          <w:highlight w:val="white"/>
        </w:rPr>
        <w:t xml:space="preserve">унального хозяйства и энергетики Новосибирской области и утверждён заместителем Губернатора Новосибирской области Сёмкой С.Н. </w:t>
      </w:r>
      <w:r>
        <w:rPr>
          <w:sz w:val="28"/>
          <w:highlight w:val="white"/>
        </w:rPr>
        <w:t xml:space="preserve">Он включает 13 308 домовладений.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rFonts w:ascii="Liberation Serif" w:hAnsi="Liberation Serif" w:cs="Liberation Serif"/>
          <w:sz w:val="28"/>
          <w:szCs w:val="28"/>
          <w:highlight w:val="white"/>
        </w:rPr>
      </w:pPr>
      <w:r>
        <w:rPr>
          <w:sz w:val="28"/>
          <w:highlight w:val="white"/>
        </w:rPr>
      </w:r>
      <w:r>
        <w:rPr>
          <w:rFonts w:ascii="Liberation Serif" w:hAnsi="Liberation Serif" w:eastAsia="Liberation Serif" w:cs="Liberation Serif"/>
          <w:sz w:val="28"/>
          <w:highlight w:val="white"/>
        </w:rPr>
        <w:t xml:space="preserve">Этот перечень в текущем году был отработан с участием 80-и волонтёров партии «Единая Росси</w:t>
      </w:r>
      <w:r>
        <w:rPr>
          <w:rFonts w:ascii="Liberation Serif" w:hAnsi="Liberation Serif" w:eastAsia="Liberation Serif" w:cs="Liberation Serif"/>
          <w:sz w:val="28"/>
          <w:highlight w:val="white"/>
        </w:rPr>
        <w:t xml:space="preserve">я».</w:t>
      </w:r>
      <w:r>
        <w:rPr>
          <w:rFonts w:ascii="Liberation Serif" w:hAnsi="Liberation Serif" w:eastAsia="Liberation Serif" w:cs="Liberation Serif"/>
          <w:sz w:val="28"/>
          <w:highlight w:val="white"/>
        </w:rPr>
        <w:t xml:space="preserve"> </w:t>
      </w:r>
      <w:r>
        <w:rPr>
          <w:rFonts w:ascii="Liberation Serif" w:hAnsi="Liberation Serif" w:cs="Liberation Serif"/>
          <w:sz w:val="28"/>
          <w:szCs w:val="28"/>
          <w:highlight w:val="white"/>
        </w:rPr>
        <w:t xml:space="preserve">За 2023 год к сетям газораспределения в Новосибирском районе подключено 3 914 домовладений, в</w:t>
      </w:r>
      <w:r>
        <w:rPr>
          <w:rFonts w:ascii="Liberation Serif" w:hAnsi="Liberation Serif" w:cs="Liberation Serif"/>
          <w:sz w:val="28"/>
          <w:szCs w:val="28"/>
          <w:highlight w:val="white"/>
        </w:rPr>
        <w:t xml:space="preserve"> том числе по программе догазификации -  3 368 квартир и жилых домов.</w:t>
      </w:r>
      <w:r>
        <w:rPr>
          <w:rFonts w:ascii="Liberation Serif" w:hAnsi="Liberation Serif" w:cs="Liberation Serif"/>
          <w:sz w:val="28"/>
          <w:szCs w:val="28"/>
          <w:highlight w:val="white"/>
        </w:rPr>
        <w:t xml:space="preserve"> </w:t>
      </w:r>
      <w:r>
        <w:rPr>
          <w:rFonts w:ascii="Liberation Serif" w:hAnsi="Liberation Serif" w:cs="Liberation Serif"/>
          <w:sz w:val="28"/>
          <w:szCs w:val="28"/>
          <w:highlight w:val="white"/>
        </w:rPr>
      </w:r>
      <w:r>
        <w:rPr>
          <w:rFonts w:ascii="Liberation Serif" w:hAnsi="Liberation Serif" w:cs="Liberation Serif"/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rFonts w:ascii="Liberation Serif" w:hAnsi="Liberation Serif" w:cs="Liberation Serif"/>
          <w:sz w:val="28"/>
          <w:szCs w:val="28"/>
          <w:highlight w:val="white"/>
        </w:rPr>
        <w:t xml:space="preserve">Для увеличения кол</w:t>
      </w:r>
      <w:r>
        <w:rPr>
          <w:rFonts w:ascii="Liberation Serif" w:hAnsi="Liberation Serif" w:cs="Liberation Serif"/>
          <w:sz w:val="28"/>
          <w:szCs w:val="28"/>
          <w:highlight w:val="white"/>
        </w:rPr>
        <w:t xml:space="preserve">ичества домовладений, подключаемых к газовым сетям, информация по догазификации размещается на сайте администрации Новосибирского района и в средствах массовой информации, в том числе газете «Территория развития Новосибирского района». </w:t>
      </w:r>
      <w:r>
        <w:rPr>
          <w:rFonts w:ascii="Liberation Serif" w:hAnsi="Liberation Serif" w:cs="Liberation Serif"/>
          <w:sz w:val="28"/>
          <w:szCs w:val="28"/>
          <w:highlight w:val="white"/>
        </w:rPr>
        <w:t xml:space="preserve">В настоящее время в </w:t>
      </w:r>
      <w:r>
        <w:rPr>
          <w:rFonts w:ascii="Liberation Serif" w:hAnsi="Liberation Serif" w:cs="Liberation Serif"/>
          <w:sz w:val="28"/>
          <w:szCs w:val="28"/>
          <w:highlight w:val="white"/>
        </w:rPr>
        <w:t xml:space="preserve">районе газифицировано 36 077 домовладений.</w:t>
      </w:r>
      <w:r>
        <w:rPr>
          <w:rFonts w:ascii="Liberation Serif" w:hAnsi="Liberation Serif" w:cs="Liberation Serif"/>
          <w:sz w:val="28"/>
          <w:szCs w:val="28"/>
          <w:highlight w:val="white"/>
        </w:rPr>
        <w:t xml:space="preserve"> В 2023 году по программе Министерства</w:t>
      </w:r>
      <w:r>
        <w:rPr>
          <w:rFonts w:ascii="Liberation Serif" w:hAnsi="Liberation Serif" w:cs="Liberation Serif"/>
          <w:sz w:val="28"/>
          <w:szCs w:val="28"/>
          <w:highlight w:val="white"/>
        </w:rPr>
        <w:t xml:space="preserve"> труда</w:t>
      </w:r>
      <w:r>
        <w:rPr>
          <w:rFonts w:ascii="Liberation Serif" w:hAnsi="Liberation Serif" w:cs="Liberation Serif"/>
          <w:sz w:val="28"/>
          <w:szCs w:val="28"/>
          <w:highlight w:val="white"/>
        </w:rPr>
        <w:t xml:space="preserve"> и социального развития </w:t>
      </w:r>
      <w:r>
        <w:rPr>
          <w:rFonts w:ascii="Liberation Serif" w:hAnsi="Liberation Serif" w:cs="Liberation Serif"/>
          <w:sz w:val="28"/>
          <w:szCs w:val="28"/>
          <w:highlight w:val="white"/>
        </w:rPr>
        <w:t xml:space="preserve"> Новосибирской области  22 человека  </w:t>
      </w:r>
      <w:r>
        <w:rPr>
          <w:rFonts w:ascii="Liberation Serif" w:hAnsi="Liberation Serif" w:cs="Liberation Serif"/>
          <w:sz w:val="28"/>
          <w:szCs w:val="28"/>
          <w:highlight w:val="white"/>
        </w:rPr>
        <w:t xml:space="preserve">получили</w:t>
      </w:r>
      <w:r>
        <w:rPr>
          <w:rFonts w:ascii="Liberation Serif" w:hAnsi="Liberation Serif" w:cs="Liberation Serif"/>
          <w:sz w:val="28"/>
          <w:szCs w:val="28"/>
          <w:highlight w:val="white"/>
        </w:rPr>
        <w:t xml:space="preserve"> </w:t>
      </w:r>
      <w:r>
        <w:rPr>
          <w:rFonts w:ascii="Liberation Serif" w:hAnsi="Liberation Serif" w:cs="Liberation Serif"/>
          <w:sz w:val="28"/>
          <w:szCs w:val="28"/>
          <w:highlight w:val="white"/>
        </w:rPr>
        <w:t xml:space="preserve">компенсацию и 32 человека - субсидию на газификацию домовладений в границах земельного участка потр</w:t>
      </w:r>
      <w:r>
        <w:rPr>
          <w:rFonts w:ascii="Liberation Serif" w:hAnsi="Liberation Serif" w:cs="Liberation Serif"/>
          <w:sz w:val="28"/>
          <w:szCs w:val="28"/>
          <w:highlight w:val="white"/>
        </w:rPr>
        <w:t xml:space="preserve">ебителя.</w:t>
      </w:r>
      <w:r>
        <w:rPr>
          <w:rFonts w:ascii="Liberation Serif" w:hAnsi="Liberation Serif" w:cs="Liberation Serif"/>
          <w:sz w:val="28"/>
          <w:szCs w:val="28"/>
          <w:highlight w:val="white"/>
        </w:rPr>
        <w:t xml:space="preserve"> 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highlight w:val="white"/>
        </w:rPr>
        <w:t xml:space="preserve"> В отчетном году строительство газопроводов обеспечено средствами частных компаний, а также федеральными, областными, местными средствами: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highlight w:val="white"/>
        </w:rPr>
        <w:t xml:space="preserve">- газопровод высокого и низкого давления для газоснабжения жилых домов в п. Красномайский (4,8 км), в с. Толмачево (7 км) - общий объем инвестиций составил 25,8 млн руб. (мероприятия реализованы в рамках </w:t>
      </w:r>
      <w:r>
        <w:rPr>
          <w:sz w:val="28"/>
          <w:highlight w:val="white"/>
        </w:rPr>
        <w:t xml:space="preserve">государствтенной</w:t>
      </w:r>
      <w:r>
        <w:rPr>
          <w:sz w:val="28"/>
          <w:highlight w:val="white"/>
        </w:rPr>
        <w:t xml:space="preserve"> программы «Комплексное развитие сельских территорий в Новосибирской области»);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- газопровод высокого и низкого давления для газоснабжения жилых домов в ст. </w:t>
      </w:r>
      <w:r>
        <w:rPr>
          <w:sz w:val="28"/>
          <w:highlight w:val="white"/>
        </w:rPr>
        <w:t xml:space="preserve">Мочище</w:t>
      </w:r>
      <w:r>
        <w:rPr>
          <w:sz w:val="28"/>
          <w:highlight w:val="white"/>
        </w:rPr>
        <w:t xml:space="preserve"> Станционного сельсовета (общий объем финансирования более 250,0 млн руб., объект построен за счет средств ООО «Сму-899»);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highlight w:val="white"/>
        </w:rPr>
        <w:t xml:space="preserve">- газопровод высокого и низкого давления для газоснабжения жилых домов в п. Красный Восток и п. 8-е Марта (4 км) - общий объем инвестиций составил 11 млн руб. (инвестор – ООО «</w:t>
      </w:r>
      <w:r>
        <w:rPr>
          <w:sz w:val="28"/>
          <w:highlight w:val="white"/>
        </w:rPr>
        <w:t xml:space="preserve">Техногаз</w:t>
      </w:r>
      <w:r>
        <w:rPr>
          <w:sz w:val="28"/>
          <w:highlight w:val="white"/>
        </w:rPr>
        <w:t xml:space="preserve">»);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- внутриквартальные сети газопровода в с. Марусино Криводановского Сельсовета (общий объем инвестиций составил более 43,0 млн руб.) – ООО «</w:t>
      </w:r>
      <w:r>
        <w:rPr>
          <w:sz w:val="28"/>
          <w:highlight w:val="white"/>
        </w:rPr>
        <w:t xml:space="preserve">Техногаз</w:t>
      </w:r>
      <w:r>
        <w:rPr>
          <w:sz w:val="28"/>
          <w:highlight w:val="white"/>
        </w:rPr>
        <w:t xml:space="preserve">»;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highlight w:val="white"/>
        </w:rPr>
        <w:t xml:space="preserve">- внутриквартальные сети газопровода с. </w:t>
      </w:r>
      <w:r>
        <w:rPr>
          <w:sz w:val="28"/>
          <w:highlight w:val="white"/>
        </w:rPr>
        <w:t xml:space="preserve">Барышево</w:t>
      </w:r>
      <w:r>
        <w:rPr>
          <w:sz w:val="28"/>
          <w:highlight w:val="white"/>
        </w:rPr>
        <w:t xml:space="preserve"> (общий объем инвестиций составил более 56,0 млн руб.) – ООО «</w:t>
      </w:r>
      <w:r>
        <w:rPr>
          <w:sz w:val="28"/>
          <w:highlight w:val="white"/>
        </w:rPr>
        <w:t xml:space="preserve">Техногаз</w:t>
      </w:r>
      <w:r>
        <w:rPr>
          <w:sz w:val="28"/>
          <w:highlight w:val="white"/>
        </w:rPr>
        <w:t xml:space="preserve">»;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highlight w:val="white"/>
        </w:rPr>
        <w:t xml:space="preserve">- внутриквартальные сети газопровода с. </w:t>
      </w:r>
      <w:r>
        <w:rPr>
          <w:sz w:val="28"/>
          <w:highlight w:val="white"/>
        </w:rPr>
        <w:t xml:space="preserve">Новолуговое</w:t>
      </w:r>
      <w:r>
        <w:rPr>
          <w:sz w:val="28"/>
          <w:highlight w:val="white"/>
        </w:rPr>
        <w:t xml:space="preserve"> (общий объем инвестиций составил более 30,0 млн руб.) – ООО «</w:t>
      </w:r>
      <w:r>
        <w:rPr>
          <w:sz w:val="28"/>
          <w:highlight w:val="white"/>
        </w:rPr>
        <w:t xml:space="preserve">ТеплоГазСервис</w:t>
      </w:r>
      <w:r>
        <w:rPr>
          <w:sz w:val="28"/>
          <w:highlight w:val="white"/>
        </w:rPr>
        <w:t xml:space="preserve">».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highlight w:val="white"/>
        </w:rPr>
        <w:t xml:space="preserve">В 2024 году запланировано подключение к газораспределительным сетям более 3 086 домовладений. Наибольшее количество домовладений запланировано </w:t>
      </w:r>
      <w:r>
        <w:rPr>
          <w:sz w:val="28"/>
          <w:highlight w:val="white"/>
        </w:rPr>
        <w:t xml:space="preserve">догазифицировать</w:t>
      </w:r>
      <w:r>
        <w:rPr>
          <w:sz w:val="28"/>
          <w:highlight w:val="white"/>
        </w:rPr>
        <w:t xml:space="preserve"> в с. </w:t>
      </w:r>
      <w:r>
        <w:rPr>
          <w:sz w:val="28"/>
          <w:highlight w:val="white"/>
        </w:rPr>
        <w:t xml:space="preserve">Криводановка</w:t>
      </w:r>
      <w:r>
        <w:rPr>
          <w:sz w:val="28"/>
          <w:highlight w:val="white"/>
        </w:rPr>
        <w:t xml:space="preserve">, с. Марусино, ст. </w:t>
      </w:r>
      <w:r>
        <w:rPr>
          <w:sz w:val="28"/>
          <w:highlight w:val="white"/>
        </w:rPr>
        <w:t xml:space="preserve">Мочище</w:t>
      </w:r>
      <w:r>
        <w:rPr>
          <w:sz w:val="28"/>
          <w:highlight w:val="white"/>
        </w:rPr>
        <w:t xml:space="preserve">, с. Толмачёво, с. </w:t>
      </w:r>
      <w:r>
        <w:rPr>
          <w:sz w:val="28"/>
          <w:highlight w:val="white"/>
        </w:rPr>
        <w:t xml:space="preserve">Новолуговое</w:t>
      </w:r>
      <w:r>
        <w:rPr>
          <w:sz w:val="28"/>
          <w:highlight w:val="white"/>
        </w:rPr>
        <w:t xml:space="preserve">, с. Каменка, п. Элитный. ООО «</w:t>
      </w:r>
      <w:r>
        <w:rPr>
          <w:sz w:val="28"/>
          <w:highlight w:val="white"/>
        </w:rPr>
        <w:t xml:space="preserve">ТехГазСервис</w:t>
      </w:r>
      <w:r>
        <w:rPr>
          <w:sz w:val="28"/>
          <w:highlight w:val="white"/>
        </w:rPr>
        <w:t xml:space="preserve">» планируют профинансировать строительство газопровода высокого давления для решения </w:t>
      </w:r>
      <w:r>
        <w:rPr>
          <w:sz w:val="28"/>
          <w:highlight w:val="white"/>
        </w:rPr>
        <w:t xml:space="preserve">вопроса </w:t>
      </w:r>
      <w:r>
        <w:rPr>
          <w:sz w:val="28"/>
          <w:highlight w:val="white"/>
        </w:rPr>
        <w:t xml:space="preserve">догазификации</w:t>
      </w:r>
      <w:r>
        <w:rPr>
          <w:sz w:val="28"/>
          <w:highlight w:val="white"/>
        </w:rPr>
        <w:t xml:space="preserve"> с. Раздольное и подключения потребителей с. Гусиный Брод. 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none"/>
        </w:rPr>
      </w:pPr>
      <w:r>
        <w:rPr>
          <w:sz w:val="28"/>
          <w:highlight w:val="white"/>
        </w:rPr>
        <w:t xml:space="preserve">Н</w:t>
      </w:r>
      <w:r>
        <w:rPr>
          <w:sz w:val="28"/>
          <w:highlight w:val="white"/>
        </w:rPr>
        <w:t xml:space="preserve">еобходимо отметить, что благодаря активной работе администрации Новосибирского района, депутатов всех уровней в 2023 году в программу развития газоснабжения и газификации Новосибирской области на период 2021 - 2025 годов включены в программу ПАО «Газпром» </w:t>
      </w:r>
      <w:r>
        <w:rPr>
          <w:sz w:val="28"/>
          <w:highlight w:val="white"/>
        </w:rPr>
        <w:t xml:space="preserve">негазифицированные</w:t>
      </w:r>
      <w:r>
        <w:rPr>
          <w:sz w:val="28"/>
          <w:highlight w:val="white"/>
        </w:rPr>
        <w:t xml:space="preserve"> населенные пункты Новосибирского района: с. Ярково, с. Боровое, с. Береговое, п. Прогресс, а также поданы предложения для включения с. Березовка, п. Железнодорожный, п. </w:t>
      </w:r>
      <w:r>
        <w:rPr>
          <w:sz w:val="28"/>
          <w:highlight w:val="white"/>
        </w:rPr>
        <w:t xml:space="preserve">Витаминка</w:t>
      </w:r>
      <w:r>
        <w:rPr>
          <w:sz w:val="28"/>
          <w:highlight w:val="white"/>
        </w:rPr>
        <w:t xml:space="preserve">, п. Советский, п. Ленинский, п. Степной, п. </w:t>
      </w:r>
      <w:r>
        <w:rPr>
          <w:sz w:val="28"/>
          <w:highlight w:val="white"/>
        </w:rPr>
        <w:t xml:space="preserve">Новоозерный</w:t>
      </w:r>
      <w:r>
        <w:rPr>
          <w:sz w:val="28"/>
          <w:highlight w:val="white"/>
        </w:rPr>
        <w:t xml:space="preserve">, ст. </w:t>
      </w:r>
      <w:r>
        <w:rPr>
          <w:sz w:val="28"/>
          <w:highlight w:val="white"/>
        </w:rPr>
        <w:t xml:space="preserve">Издревая</w:t>
      </w:r>
      <w:r>
        <w:rPr>
          <w:sz w:val="28"/>
          <w:highlight w:val="white"/>
        </w:rPr>
        <w:t xml:space="preserve">, д. </w:t>
      </w:r>
      <w:r>
        <w:rPr>
          <w:sz w:val="28"/>
          <w:highlight w:val="white"/>
        </w:rPr>
        <w:t xml:space="preserve">Издревая</w:t>
      </w:r>
      <w:r>
        <w:rPr>
          <w:sz w:val="28"/>
          <w:highlight w:val="white"/>
        </w:rPr>
        <w:t xml:space="preserve">, ст. Иня-Восточная. 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709"/>
        <w:jc w:val="both"/>
        <w:rPr>
          <w:rFonts w:ascii="Liberation Serif" w:hAnsi="Liberation Serif" w:cs="Liberation Serif"/>
          <w:sz w:val="28"/>
          <w:szCs w:val="28"/>
          <w:highlight w:val="yellow"/>
        </w:rPr>
      </w:pPr>
      <w:r>
        <w:rPr>
          <w:rFonts w:ascii="Liberation Serif" w:hAnsi="Liberation Serif" w:eastAsia="Liberation Serif" w:cs="Liberation Serif"/>
          <w:sz w:val="28"/>
          <w:highlight w:val="yellow"/>
        </w:rPr>
      </w:r>
      <w:r>
        <w:rPr>
          <w:rFonts w:ascii="Liberation Serif" w:hAnsi="Liberation Serif" w:eastAsia="Liberation Serif" w:cs="Liberation Serif"/>
          <w:sz w:val="28"/>
          <w:highlight w:val="white"/>
        </w:rPr>
        <w:t xml:space="preserve">В настоящее время</w:t>
      </w:r>
      <w:r>
        <w:rPr>
          <w:rFonts w:ascii="Liberation Serif" w:hAnsi="Liberation Serif" w:cs="Liberation Serif"/>
          <w:sz w:val="28"/>
          <w:highlight w:val="white"/>
        </w:rPr>
        <w:t xml:space="preserve"> администрация Новосибирского района совместно с администрациями Боровского и Ярковского сельсоветов </w:t>
      </w:r>
      <w:r>
        <w:rPr>
          <w:rFonts w:ascii="Liberation Serif" w:hAnsi="Liberation Serif" w:cs="Liberation Serif"/>
          <w:sz w:val="28"/>
          <w:highlight w:val="white"/>
        </w:rPr>
        <w:t xml:space="preserve">приступили к разработке проектно-сметной документации по переводу 5-и угольных котельных с твердого топлива на природный газ, в т.ч. 3-х котельных в селе Ярково и по одной в сёлах Береговое и Боровое.</w:t>
      </w:r>
      <w:r>
        <w:rPr>
          <w:rFonts w:ascii="Liberation Serif" w:hAnsi="Liberation Serif" w:cs="Liberation Serif"/>
          <w:sz w:val="28"/>
          <w:szCs w:val="28"/>
          <w:highlight w:val="yellow"/>
        </w:rPr>
      </w:r>
      <w:r>
        <w:rPr>
          <w:rFonts w:ascii="Liberation Serif" w:hAnsi="Liberation Serif" w:cs="Liberation Serif"/>
          <w:sz w:val="28"/>
          <w:szCs w:val="28"/>
          <w:highlight w:val="yellow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highlight w:val="none"/>
        </w:rPr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8"/>
        <w:jc w:val="both"/>
        <w:rPr>
          <w:b/>
          <w:bCs/>
          <w:i/>
          <w:sz w:val="28"/>
          <w:szCs w:val="28"/>
        </w:rPr>
      </w:pPr>
      <w:r>
        <w:rPr>
          <w:b/>
          <w:i/>
          <w:sz w:val="28"/>
        </w:rPr>
        <w:t xml:space="preserve">3.3. Благоустройство</w:t>
      </w:r>
      <w:r>
        <w:rPr>
          <w:b/>
          <w:bCs/>
          <w:i/>
          <w:sz w:val="28"/>
          <w:szCs w:val="28"/>
        </w:rPr>
      </w:r>
      <w:r>
        <w:rPr>
          <w:b/>
          <w:bCs/>
          <w:i/>
          <w:sz w:val="28"/>
          <w:szCs w:val="28"/>
        </w:rPr>
      </w:r>
    </w:p>
    <w:p>
      <w:pPr>
        <w:ind w:firstLine="708"/>
        <w:jc w:val="both"/>
        <w:rPr>
          <w:b/>
          <w:bCs/>
          <w:i/>
          <w:sz w:val="28"/>
          <w:szCs w:val="28"/>
        </w:rPr>
      </w:pPr>
      <w:r>
        <w:rPr>
          <w:b/>
          <w:i/>
          <w:sz w:val="28"/>
        </w:rPr>
        <w:t xml:space="preserve"> </w:t>
      </w:r>
      <w:r>
        <w:rPr>
          <w:b/>
          <w:bCs/>
          <w:i/>
          <w:sz w:val="28"/>
          <w:szCs w:val="28"/>
        </w:rPr>
      </w:r>
      <w:r>
        <w:rPr>
          <w:b/>
          <w:bCs/>
          <w:i/>
          <w:sz w:val="28"/>
          <w:szCs w:val="28"/>
        </w:rPr>
      </w:r>
    </w:p>
    <w:p>
      <w:pPr>
        <w:ind w:firstLine="708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В 2023 году в рамках регионального проекта «Формирование комфортной городской среды» государственной программы Новосибирской области «Жилищно-коммунальное хозяйство Новосибирской области» на территории Новосибирского района благоустроено: 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8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- 7 дворовых территорий многоквартирных домов Верх-</w:t>
      </w:r>
      <w:r>
        <w:rPr>
          <w:sz w:val="28"/>
          <w:highlight w:val="white"/>
        </w:rPr>
        <w:t xml:space="preserve">Тулинского</w:t>
      </w:r>
      <w:r>
        <w:rPr>
          <w:sz w:val="28"/>
          <w:highlight w:val="white"/>
        </w:rPr>
        <w:t xml:space="preserve">, </w:t>
      </w:r>
      <w:r>
        <w:rPr>
          <w:sz w:val="28"/>
          <w:highlight w:val="white"/>
        </w:rPr>
        <w:t xml:space="preserve">Кудряшовского</w:t>
      </w:r>
      <w:r>
        <w:rPr>
          <w:sz w:val="28"/>
          <w:highlight w:val="white"/>
        </w:rPr>
        <w:t xml:space="preserve">, Криводановского сельсоветов и </w:t>
      </w:r>
      <w:r>
        <w:rPr>
          <w:sz w:val="28"/>
          <w:highlight w:val="white"/>
        </w:rPr>
        <w:t xml:space="preserve">р.п</w:t>
      </w:r>
      <w:r>
        <w:rPr>
          <w:sz w:val="28"/>
          <w:highlight w:val="white"/>
        </w:rPr>
        <w:t xml:space="preserve">. </w:t>
      </w:r>
      <w:r>
        <w:rPr>
          <w:sz w:val="28"/>
          <w:highlight w:val="white"/>
        </w:rPr>
        <w:t xml:space="preserve">Краснообск</w:t>
      </w:r>
      <w:r>
        <w:rPr>
          <w:sz w:val="28"/>
          <w:highlight w:val="white"/>
        </w:rPr>
        <w:t xml:space="preserve">;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8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- 4 общественных территории в Морском, Станционном, </w:t>
      </w:r>
      <w:r>
        <w:rPr>
          <w:sz w:val="28"/>
          <w:highlight w:val="white"/>
        </w:rPr>
        <w:t xml:space="preserve">Толмаческом</w:t>
      </w:r>
      <w:r>
        <w:rPr>
          <w:sz w:val="28"/>
          <w:highlight w:val="white"/>
        </w:rPr>
        <w:t xml:space="preserve"> и </w:t>
      </w:r>
      <w:r>
        <w:rPr>
          <w:sz w:val="28"/>
          <w:highlight w:val="white"/>
        </w:rPr>
        <w:t xml:space="preserve">Криводановском</w:t>
      </w:r>
      <w:r>
        <w:rPr>
          <w:sz w:val="28"/>
          <w:highlight w:val="white"/>
        </w:rPr>
        <w:t xml:space="preserve"> сельсоветах.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8"/>
        <w:jc w:val="both"/>
        <w:rPr>
          <w:sz w:val="28"/>
          <w:szCs w:val="28"/>
          <w:highlight w:val="white"/>
        </w:rPr>
      </w:pPr>
      <w:r>
        <w:rPr>
          <w:sz w:val="28"/>
          <w:highlight w:val="white"/>
        </w:rPr>
        <w:t xml:space="preserve">Всего на реализацию обозначенных программных мероприятий направлено 70,9 млн руб. (в </w:t>
      </w:r>
      <w:r>
        <w:rPr>
          <w:sz w:val="28"/>
          <w:highlight w:val="white"/>
        </w:rPr>
        <w:t xml:space="preserve">т.ч</w:t>
      </w:r>
      <w:r>
        <w:rPr>
          <w:sz w:val="28"/>
          <w:highlight w:val="white"/>
        </w:rPr>
        <w:t xml:space="preserve">. благоустройство дворовых территорий – 47,1 млн руб.</w:t>
      </w:r>
      <w:r>
        <w:rPr>
          <w:sz w:val="28"/>
        </w:rPr>
        <w:t xml:space="preserve">, </w:t>
      </w:r>
      <w:r>
        <w:rPr>
          <w:sz w:val="28"/>
          <w:highlight w:val="white"/>
        </w:rPr>
        <w:t xml:space="preserve">на благоустройство общественных пространств – 23,8 млн руб.).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8"/>
        <w:jc w:val="both"/>
        <w:rPr>
          <w:sz w:val="28"/>
          <w:szCs w:val="28"/>
          <w:highlight w:val="white"/>
        </w:rPr>
      </w:pPr>
      <w:r>
        <w:rPr>
          <w:color w:val="000000" w:themeColor="text1"/>
          <w:sz w:val="28"/>
          <w:szCs w:val="28"/>
          <w:highlight w:val="white"/>
        </w:rPr>
        <w:t xml:space="preserve">В рамках реализации государственной программы Новосибирской области «Жилищно-коммунальное хозяйст</w:t>
      </w:r>
      <w:r>
        <w:rPr>
          <w:color w:val="000000" w:themeColor="text1"/>
          <w:sz w:val="28"/>
          <w:szCs w:val="28"/>
          <w:highlight w:val="white"/>
        </w:rPr>
        <w:t xml:space="preserve">во Новосибирской области» федерального проекта «Формирование комфортной городской среды» в прогнозном периоде продолжится благоустройство дворовых территорий многоквартирных домов и общественных пространств муниципальных образований Новосибирского района. 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pStyle w:val="981"/>
        <w:ind w:firstLine="709"/>
        <w:jc w:val="both"/>
        <w:rPr>
          <w:rFonts w:ascii="Times New Roman" w:hAnsi="Times New Roman" w:eastAsia="Times New Roman" w:cs="Times New Roman"/>
          <w:sz w:val="28"/>
          <w:szCs w:val="28"/>
          <w:highlight w:val="white"/>
        </w:rPr>
      </w:pPr>
      <w:r>
        <w:rPr>
          <w:rFonts w:ascii="Times New Roman" w:hAnsi="Times New Roman" w:eastAsia="Times New Roman" w:cs="Times New Roman"/>
          <w:sz w:val="28"/>
          <w:szCs w:val="28"/>
          <w:highlight w:val="white"/>
        </w:rPr>
        <w:t xml:space="preserve">В 2024 году в рамках обозначенной выше государственной программы запланировано благоустройство дворовых территорий и общественных пространств в 8-ми муниципальных образованиях Новосибирского района (</w:t>
      </w:r>
      <w:r>
        <w:rPr>
          <w:rFonts w:ascii="Times New Roman" w:hAnsi="Times New Roman" w:eastAsia="Times New Roman" w:cs="Times New Roman"/>
          <w:sz w:val="28"/>
          <w:szCs w:val="28"/>
          <w:highlight w:val="white"/>
        </w:rPr>
        <w:t xml:space="preserve">Барышевский</w:t>
      </w:r>
      <w:r>
        <w:rPr>
          <w:rFonts w:ascii="Times New Roman" w:hAnsi="Times New Roman" w:eastAsia="Times New Roman" w:cs="Times New Roman"/>
          <w:sz w:val="28"/>
          <w:szCs w:val="28"/>
          <w:highlight w:val="white"/>
        </w:rPr>
        <w:t xml:space="preserve">, Верх-</w:t>
      </w:r>
      <w:r>
        <w:rPr>
          <w:rFonts w:ascii="Times New Roman" w:hAnsi="Times New Roman" w:eastAsia="Times New Roman" w:cs="Times New Roman"/>
          <w:sz w:val="28"/>
          <w:szCs w:val="28"/>
          <w:highlight w:val="white"/>
        </w:rPr>
        <w:t xml:space="preserve">Тулинский</w:t>
      </w:r>
      <w:r>
        <w:rPr>
          <w:rFonts w:ascii="Times New Roman" w:hAnsi="Times New Roman" w:eastAsia="Times New Roman" w:cs="Times New Roman"/>
          <w:sz w:val="28"/>
          <w:szCs w:val="28"/>
          <w:highlight w:val="white"/>
        </w:rPr>
        <w:t xml:space="preserve">, </w:t>
      </w:r>
      <w:r>
        <w:rPr>
          <w:rFonts w:ascii="Times New Roman" w:hAnsi="Times New Roman" w:eastAsia="Times New Roman" w:cs="Times New Roman"/>
          <w:sz w:val="28"/>
          <w:szCs w:val="28"/>
          <w:highlight w:val="white"/>
        </w:rPr>
        <w:t xml:space="preserve">Криводановский</w:t>
      </w:r>
      <w:r>
        <w:rPr>
          <w:rFonts w:ascii="Times New Roman" w:hAnsi="Times New Roman" w:eastAsia="Times New Roman" w:cs="Times New Roman"/>
          <w:sz w:val="28"/>
          <w:szCs w:val="28"/>
          <w:highlight w:val="white"/>
        </w:rPr>
        <w:t xml:space="preserve">, </w:t>
      </w:r>
      <w:r>
        <w:rPr>
          <w:rFonts w:ascii="Times New Roman" w:hAnsi="Times New Roman" w:eastAsia="Times New Roman" w:cs="Times New Roman"/>
          <w:sz w:val="28"/>
          <w:szCs w:val="28"/>
          <w:highlight w:val="white"/>
        </w:rPr>
        <w:t xml:space="preserve">Кудряшовский</w:t>
      </w:r>
      <w:r>
        <w:rPr>
          <w:rFonts w:ascii="Times New Roman" w:hAnsi="Times New Roman" w:eastAsia="Times New Roman" w:cs="Times New Roman"/>
          <w:sz w:val="28"/>
          <w:szCs w:val="28"/>
          <w:highlight w:val="white"/>
        </w:rPr>
        <w:t xml:space="preserve">, Морской, </w:t>
      </w:r>
      <w:r>
        <w:rPr>
          <w:rFonts w:ascii="Times New Roman" w:hAnsi="Times New Roman" w:eastAsia="Times New Roman" w:cs="Times New Roman"/>
          <w:sz w:val="28"/>
          <w:szCs w:val="28"/>
          <w:highlight w:val="white"/>
        </w:rPr>
        <w:t xml:space="preserve">Раздольненский</w:t>
      </w:r>
      <w:r>
        <w:rPr>
          <w:rFonts w:ascii="Times New Roman" w:hAnsi="Times New Roman" w:eastAsia="Times New Roman" w:cs="Times New Roman"/>
          <w:sz w:val="28"/>
          <w:szCs w:val="28"/>
          <w:highlight w:val="white"/>
        </w:rPr>
        <w:t xml:space="preserve">, </w:t>
      </w:r>
      <w:r>
        <w:rPr>
          <w:rFonts w:ascii="Times New Roman" w:hAnsi="Times New Roman" w:eastAsia="Times New Roman" w:cs="Times New Roman"/>
          <w:sz w:val="28"/>
          <w:szCs w:val="28"/>
          <w:highlight w:val="white"/>
        </w:rPr>
        <w:t xml:space="preserve">Толмаческий</w:t>
      </w:r>
      <w:r>
        <w:rPr>
          <w:rFonts w:ascii="Times New Roman" w:hAnsi="Times New Roman" w:eastAsia="Times New Roman" w:cs="Times New Roman"/>
          <w:sz w:val="28"/>
          <w:szCs w:val="28"/>
          <w:highlight w:val="white"/>
        </w:rPr>
        <w:t xml:space="preserve"> сельсоветы, </w:t>
      </w:r>
      <w:r>
        <w:rPr>
          <w:rFonts w:ascii="Times New Roman" w:hAnsi="Times New Roman" w:eastAsia="Times New Roman" w:cs="Times New Roman"/>
          <w:sz w:val="28"/>
          <w:szCs w:val="28"/>
          <w:highlight w:val="white"/>
        </w:rPr>
        <w:t xml:space="preserve">р.п</w:t>
      </w:r>
      <w:r>
        <w:rPr>
          <w:rFonts w:ascii="Times New Roman" w:hAnsi="Times New Roman" w:eastAsia="Times New Roman" w:cs="Times New Roman"/>
          <w:sz w:val="28"/>
          <w:szCs w:val="28"/>
          <w:highlight w:val="white"/>
        </w:rPr>
        <w:t xml:space="preserve">. </w:t>
      </w:r>
      <w:r>
        <w:rPr>
          <w:rFonts w:ascii="Times New Roman" w:hAnsi="Times New Roman" w:eastAsia="Times New Roman" w:cs="Times New Roman"/>
          <w:sz w:val="28"/>
          <w:szCs w:val="28"/>
          <w:highlight w:val="white"/>
        </w:rPr>
        <w:t xml:space="preserve">Краснообск</w:t>
      </w:r>
      <w:r>
        <w:rPr>
          <w:rFonts w:ascii="Times New Roman" w:hAnsi="Times New Roman" w:eastAsia="Times New Roman" w:cs="Times New Roman"/>
          <w:sz w:val="28"/>
          <w:szCs w:val="28"/>
          <w:highlight w:val="white"/>
        </w:rPr>
        <w:t xml:space="preserve">).</w:t>
      </w:r>
      <w:r>
        <w:rPr>
          <w:rFonts w:ascii="Times New Roman" w:hAnsi="Times New Roman" w:eastAsia="Times New Roman" w:cs="Times New Roman"/>
          <w:sz w:val="28"/>
          <w:szCs w:val="28"/>
          <w:highlight w:val="white"/>
        </w:rPr>
      </w:r>
      <w:r>
        <w:rPr>
          <w:rFonts w:ascii="Times New Roman" w:hAnsi="Times New Roman" w:eastAsia="Times New Roman" w:cs="Times New Roman"/>
          <w:sz w:val="28"/>
          <w:szCs w:val="28"/>
          <w:highlight w:val="white"/>
        </w:rPr>
      </w:r>
    </w:p>
    <w:p>
      <w:pPr>
        <w:ind w:firstLine="708"/>
        <w:jc w:val="both"/>
        <w:rPr>
          <w:sz w:val="28"/>
          <w:highlight w:val="white"/>
        </w:rPr>
      </w:pPr>
      <w:r>
        <w:rPr>
          <w:sz w:val="28"/>
        </w:rPr>
        <w:t xml:space="preserve">В</w:t>
      </w:r>
      <w:r>
        <w:rPr>
          <w:sz w:val="28"/>
          <w:highlight w:val="white"/>
        </w:rPr>
        <w:t xml:space="preserve"> 2023 году в рамках реализации проектов развития</w:t>
      </w:r>
      <w:r>
        <w:rPr>
          <w:sz w:val="28"/>
          <w:highlight w:val="white"/>
        </w:rPr>
        <w:t xml:space="preserve"> территорий сельских и городских поселений Новосибирской области, основанных на местных инициативах и прошедших конкурсный отбор, проведенный министерством финансов и налоговой политики Новосибирской области, в 16 населенных пунктах Новосибирского района (</w:t>
      </w:r>
      <w:r>
        <w:rPr>
          <w:sz w:val="28"/>
          <w:highlight w:val="white"/>
        </w:rPr>
        <w:t xml:space="preserve">р.п</w:t>
      </w:r>
      <w:r>
        <w:rPr>
          <w:sz w:val="28"/>
          <w:highlight w:val="white"/>
        </w:rPr>
        <w:t xml:space="preserve">. </w:t>
      </w:r>
      <w:r>
        <w:rPr>
          <w:sz w:val="28"/>
          <w:highlight w:val="white"/>
        </w:rPr>
        <w:t xml:space="preserve">Краснообск</w:t>
      </w:r>
      <w:r>
        <w:rPr>
          <w:sz w:val="28"/>
          <w:highlight w:val="white"/>
        </w:rPr>
        <w:t xml:space="preserve">, Каменский, </w:t>
      </w:r>
      <w:r>
        <w:rPr>
          <w:sz w:val="28"/>
          <w:highlight w:val="white"/>
        </w:rPr>
        <w:t xml:space="preserve">Кубовинский</w:t>
      </w:r>
      <w:r>
        <w:rPr>
          <w:sz w:val="28"/>
          <w:highlight w:val="white"/>
        </w:rPr>
        <w:t xml:space="preserve">, </w:t>
      </w:r>
      <w:r>
        <w:rPr>
          <w:sz w:val="28"/>
          <w:highlight w:val="white"/>
        </w:rPr>
        <w:t xml:space="preserve">Барышевский</w:t>
      </w:r>
      <w:r>
        <w:rPr>
          <w:sz w:val="28"/>
          <w:highlight w:val="white"/>
        </w:rPr>
        <w:t xml:space="preserve">, Березовский, </w:t>
      </w:r>
      <w:r>
        <w:rPr>
          <w:sz w:val="28"/>
          <w:highlight w:val="white"/>
        </w:rPr>
        <w:t xml:space="preserve">Боровской</w:t>
      </w:r>
      <w:r>
        <w:rPr>
          <w:sz w:val="28"/>
          <w:highlight w:val="white"/>
        </w:rPr>
        <w:t xml:space="preserve">, Верх-</w:t>
      </w:r>
      <w:r>
        <w:rPr>
          <w:sz w:val="28"/>
          <w:highlight w:val="white"/>
        </w:rPr>
        <w:t xml:space="preserve">Тулинский</w:t>
      </w:r>
      <w:r>
        <w:rPr>
          <w:sz w:val="28"/>
          <w:highlight w:val="white"/>
        </w:rPr>
        <w:t xml:space="preserve">, </w:t>
      </w:r>
      <w:r>
        <w:rPr>
          <w:sz w:val="28"/>
          <w:highlight w:val="white"/>
        </w:rPr>
        <w:t xml:space="preserve">Кудряшовский</w:t>
      </w:r>
      <w:r>
        <w:rPr>
          <w:sz w:val="28"/>
          <w:highlight w:val="white"/>
        </w:rPr>
        <w:t xml:space="preserve">, </w:t>
      </w:r>
      <w:r>
        <w:rPr>
          <w:sz w:val="28"/>
          <w:highlight w:val="white"/>
        </w:rPr>
        <w:t xml:space="preserve">Криводановский</w:t>
      </w:r>
      <w:r>
        <w:rPr>
          <w:sz w:val="28"/>
          <w:highlight w:val="white"/>
        </w:rPr>
        <w:t xml:space="preserve">, Мичуринский, </w:t>
      </w:r>
      <w:r>
        <w:rPr>
          <w:sz w:val="28"/>
          <w:highlight w:val="white"/>
        </w:rPr>
        <w:t xml:space="preserve">Мочищенский</w:t>
      </w:r>
      <w:r>
        <w:rPr>
          <w:sz w:val="28"/>
          <w:highlight w:val="white"/>
        </w:rPr>
        <w:t xml:space="preserve">, </w:t>
      </w:r>
      <w:r>
        <w:rPr>
          <w:sz w:val="28"/>
          <w:highlight w:val="white"/>
        </w:rPr>
        <w:t xml:space="preserve">Новолуговской</w:t>
      </w:r>
      <w:r>
        <w:rPr>
          <w:sz w:val="28"/>
          <w:highlight w:val="white"/>
        </w:rPr>
        <w:t xml:space="preserve">, </w:t>
      </w:r>
      <w:r>
        <w:rPr>
          <w:sz w:val="28"/>
          <w:highlight w:val="white"/>
        </w:rPr>
        <w:t xml:space="preserve">Плотниковский</w:t>
      </w:r>
      <w:r>
        <w:rPr>
          <w:sz w:val="28"/>
          <w:highlight w:val="white"/>
        </w:rPr>
        <w:t xml:space="preserve">, Станционный, </w:t>
      </w:r>
      <w:r>
        <w:rPr>
          <w:sz w:val="28"/>
          <w:highlight w:val="white"/>
        </w:rPr>
        <w:t xml:space="preserve">Ярковский</w:t>
      </w:r>
      <w:r>
        <w:rPr>
          <w:sz w:val="28"/>
          <w:highlight w:val="white"/>
        </w:rPr>
        <w:t xml:space="preserve"> и </w:t>
      </w:r>
      <w:r>
        <w:rPr>
          <w:sz w:val="28"/>
          <w:highlight w:val="white"/>
        </w:rPr>
        <w:t xml:space="preserve">Толмачевский</w:t>
      </w:r>
      <w:r>
        <w:rPr>
          <w:sz w:val="28"/>
          <w:highlight w:val="white"/>
        </w:rPr>
        <w:t xml:space="preserve"> сельсов</w:t>
      </w:r>
      <w:r>
        <w:rPr>
          <w:sz w:val="28"/>
          <w:highlight w:val="white"/>
        </w:rPr>
        <w:t xml:space="preserve">еты) были осуществлены мероприятия по благоустройству территорий указанных поселений, включая освещение улиц, озеленение территорий, обустройство мест для массового отдыха жителей поселений, создание условий для развития на территории поселения физической </w:t>
      </w:r>
      <w:r>
        <w:rPr>
          <w:sz w:val="28"/>
          <w:highlight w:val="white"/>
        </w:rPr>
        <w:t xml:space="preserve">культуры и массового спорта и приведение автомобильных дорог местного значения и сооружений на них в надлежащее состояние. Общий объем реализованных проектов составил 14,1 млн руб., в том числе за счет средств субсидии из областного бюджета – 7,2 млн руб.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9"/>
        <w:jc w:val="both"/>
        <w:rPr>
          <w:color w:val="auto"/>
          <w:sz w:val="28"/>
          <w:szCs w:val="28"/>
        </w:rPr>
      </w:pPr>
      <w:r>
        <w:rPr>
          <w:sz w:val="28"/>
          <w:highlight w:val="white"/>
        </w:rPr>
        <w:t xml:space="preserve">Благодаря активной работе с жителями, усилению взаимодействия со стороны управления финансов и налоговой политики и администрации Новосибирского района конкурсный отбор на 2024 год прошли 16 поселений района (за исключением </w:t>
      </w:r>
      <w:r>
        <w:rPr>
          <w:sz w:val="28"/>
          <w:highlight w:val="white"/>
        </w:rPr>
        <w:t xml:space="preserve">Барышевского</w:t>
      </w:r>
      <w:r>
        <w:rPr>
          <w:sz w:val="28"/>
          <w:highlight w:val="white"/>
        </w:rPr>
        <w:t xml:space="preserve"> и </w:t>
      </w:r>
      <w:r>
        <w:rPr>
          <w:sz w:val="28"/>
          <w:highlight w:val="white"/>
        </w:rPr>
        <w:t xml:space="preserve">Мочищенского</w:t>
      </w:r>
      <w:r>
        <w:rPr>
          <w:sz w:val="28"/>
          <w:highlight w:val="white"/>
        </w:rPr>
        <w:t xml:space="preserve"> сельсоветов). Общий объем заявленных проектов – 44,0 млн руб., в том числе за счет субсидии из обл</w:t>
      </w:r>
      <w:r>
        <w:rPr>
          <w:color w:val="auto"/>
          <w:sz w:val="28"/>
          <w:szCs w:val="28"/>
        </w:rPr>
        <w:t xml:space="preserve">астного бюджета – 24,7 млн руб.</w:t>
      </w:r>
      <w:r>
        <w:rPr>
          <w:color w:val="auto"/>
          <w:sz w:val="28"/>
          <w:szCs w:val="28"/>
        </w:rPr>
      </w:r>
      <w:r>
        <w:rPr>
          <w:color w:val="auto"/>
          <w:sz w:val="28"/>
          <w:szCs w:val="28"/>
        </w:rPr>
      </w:r>
    </w:p>
    <w:p>
      <w:pPr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Кроме того, благоустройство территорий Новосибирского района реализовано в 2023 году и в рамках государственной программы Новосибирской области «Комплексное</w:t>
      </w:r>
      <w:r>
        <w:rPr>
          <w:color w:val="auto"/>
          <w:sz w:val="28"/>
          <w:szCs w:val="28"/>
        </w:rPr>
        <w:t xml:space="preserve"> развитие сельских территорий», конкурсных отбор для участия в которой прошли 3 проекта по благоустройству (обустройство тротуара в п. Юный Ленинец Новосибирского района Новосибирской области,  благоустройство общественной территории по ул. Сибирская в п. </w:t>
      </w:r>
      <w:r>
        <w:rPr>
          <w:color w:val="auto"/>
          <w:sz w:val="28"/>
          <w:szCs w:val="28"/>
        </w:rPr>
        <w:t xml:space="preserve">Катковский</w:t>
      </w:r>
      <w:r>
        <w:rPr>
          <w:color w:val="auto"/>
          <w:sz w:val="28"/>
          <w:szCs w:val="28"/>
        </w:rPr>
        <w:t xml:space="preserve">, создание и обустройство универсальной спортивной площадки  </w:t>
      </w:r>
      <w:r>
        <w:rPr>
          <w:color w:val="auto"/>
          <w:sz w:val="28"/>
          <w:szCs w:val="28"/>
        </w:rPr>
        <w:t xml:space="preserve">п.Новоозерный</w:t>
      </w:r>
      <w:r>
        <w:rPr>
          <w:color w:val="auto"/>
          <w:sz w:val="28"/>
          <w:szCs w:val="28"/>
        </w:rPr>
        <w:t xml:space="preserve">) на общую сумму более 8,6 млн. руб. </w:t>
      </w:r>
      <w:r>
        <w:rPr>
          <w:color w:val="auto"/>
          <w:sz w:val="28"/>
          <w:szCs w:val="28"/>
        </w:rPr>
      </w:r>
      <w:r>
        <w:rPr>
          <w:color w:val="auto"/>
          <w:sz w:val="28"/>
          <w:szCs w:val="28"/>
        </w:rPr>
      </w:r>
    </w:p>
    <w:p>
      <w:pPr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</w:r>
      <w:r>
        <w:rPr>
          <w:color w:val="auto"/>
          <w:sz w:val="28"/>
          <w:szCs w:val="28"/>
        </w:rPr>
      </w:r>
      <w:r>
        <w:rPr>
          <w:color w:val="auto"/>
          <w:sz w:val="28"/>
          <w:szCs w:val="28"/>
        </w:rPr>
      </w:r>
    </w:p>
    <w:p>
      <w:pPr>
        <w:ind w:firstLine="709"/>
        <w:jc w:val="both"/>
        <w:rPr>
          <w:b/>
          <w:bCs/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 xml:space="preserve">IV. Исполнение бюджета</w:t>
      </w:r>
      <w:r>
        <w:rPr>
          <w:b/>
          <w:bCs/>
          <w:color w:val="auto"/>
          <w:sz w:val="28"/>
          <w:szCs w:val="28"/>
        </w:rPr>
      </w:r>
      <w:r>
        <w:rPr>
          <w:b/>
          <w:bCs/>
          <w:color w:val="auto"/>
          <w:sz w:val="28"/>
          <w:szCs w:val="28"/>
        </w:rPr>
      </w:r>
    </w:p>
    <w:p>
      <w:pPr>
        <w:ind w:firstLine="709"/>
        <w:jc w:val="both"/>
        <w:rPr>
          <w:b/>
          <w:bCs/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</w:r>
      <w:r>
        <w:rPr>
          <w:b/>
          <w:bCs/>
          <w:color w:val="auto"/>
          <w:sz w:val="28"/>
          <w:szCs w:val="28"/>
        </w:rPr>
      </w:r>
      <w:r>
        <w:rPr>
          <w:b/>
          <w:bCs/>
          <w:color w:val="auto"/>
          <w:sz w:val="28"/>
          <w:szCs w:val="28"/>
        </w:rPr>
      </w:r>
    </w:p>
    <w:p>
      <w:pPr>
        <w:ind w:firstLine="709"/>
        <w:jc w:val="both"/>
        <w:rPr>
          <w:b/>
          <w:bCs/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 xml:space="preserve">4.1. Доходы бюджета </w:t>
      </w:r>
      <w:r>
        <w:rPr>
          <w:b/>
          <w:bCs/>
          <w:color w:val="auto"/>
          <w:sz w:val="28"/>
          <w:szCs w:val="28"/>
        </w:rPr>
      </w:r>
      <w:r>
        <w:rPr>
          <w:b/>
          <w:bCs/>
          <w:color w:val="auto"/>
          <w:sz w:val="28"/>
          <w:szCs w:val="28"/>
        </w:rPr>
      </w:r>
    </w:p>
    <w:p>
      <w:pPr>
        <w:ind w:firstLine="709"/>
        <w:jc w:val="both"/>
        <w:rPr>
          <w:b/>
          <w:bCs/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</w:r>
      <w:r>
        <w:rPr>
          <w:b/>
          <w:bCs/>
          <w:color w:val="auto"/>
          <w:sz w:val="28"/>
          <w:szCs w:val="28"/>
        </w:rPr>
      </w:r>
      <w:r>
        <w:rPr>
          <w:b/>
          <w:bCs/>
          <w:color w:val="auto"/>
          <w:sz w:val="28"/>
          <w:szCs w:val="28"/>
        </w:rPr>
      </w:r>
    </w:p>
    <w:p>
      <w:pPr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По итогам 2023 года в консолидированный бюджет Новосибирского района поступило 9 908,7 млн руб., что на 2 555,7 млн. рублей, или на 35% превышает фактические доходы 2022 года. </w:t>
      </w:r>
      <w:r>
        <w:rPr>
          <w:color w:val="auto"/>
          <w:sz w:val="28"/>
          <w:szCs w:val="28"/>
        </w:rPr>
      </w:r>
      <w:r>
        <w:rPr>
          <w:color w:val="auto"/>
          <w:sz w:val="28"/>
          <w:szCs w:val="28"/>
        </w:rPr>
      </w:r>
    </w:p>
    <w:p>
      <w:pPr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При этом собственные доходы (налоговые и неналоговые) составили 3 812,8 млн руб. Темп роста к фактическим поступлениям за 2022 год сложился на уровне 110,6 %.</w:t>
      </w:r>
      <w:r>
        <w:rPr>
          <w:color w:val="auto"/>
          <w:sz w:val="28"/>
          <w:szCs w:val="28"/>
        </w:rPr>
      </w:r>
      <w:r>
        <w:rPr>
          <w:color w:val="auto"/>
          <w:sz w:val="28"/>
          <w:szCs w:val="28"/>
        </w:rPr>
      </w:r>
    </w:p>
    <w:p>
      <w:pPr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Сверх плана консолидированный бюджет Новосибирского района получил 639,8 млн. рублей. В составе соб</w:t>
      </w:r>
      <w:r>
        <w:rPr>
          <w:color w:val="auto"/>
          <w:sz w:val="28"/>
          <w:szCs w:val="28"/>
        </w:rPr>
        <w:t xml:space="preserve">ственных доходов основной удельный вес занимают: НДФЛ – 51,5%, налог, взимаемый в связи с применением упрощенной системы налогообложения – 16,9%, земельный налог – 9,7%, доходы от использования имущества, находящегося в муниципальной собственности – 10,0%.</w:t>
      </w:r>
      <w:r>
        <w:rPr>
          <w:color w:val="auto"/>
          <w:sz w:val="28"/>
          <w:szCs w:val="28"/>
        </w:rPr>
      </w:r>
      <w:r>
        <w:rPr>
          <w:color w:val="auto"/>
          <w:sz w:val="28"/>
          <w:szCs w:val="28"/>
        </w:rPr>
      </w:r>
    </w:p>
    <w:p>
      <w:pPr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Основными при</w:t>
      </w:r>
      <w:r>
        <w:rPr>
          <w:color w:val="auto"/>
          <w:sz w:val="28"/>
          <w:szCs w:val="28"/>
        </w:rPr>
        <w:t xml:space="preserve">чинами сверхпланового поступления доходов являются увеличение налогооблагаемой базы по большинству налогов, связанное с открытием новых и расширением действующих производств, ростом средней заработной платы, увеличением количества хозяйствующих субъектов. </w:t>
      </w:r>
      <w:r>
        <w:rPr>
          <w:color w:val="auto"/>
          <w:sz w:val="28"/>
          <w:szCs w:val="28"/>
        </w:rPr>
        <w:t xml:space="preserve">В целом, несмотря на сложную внешнеполитическую ситуацию, действие большого количества санкций в отношении Российской Федерации, предприятия и организации Новосибирского района не только не ухудшили, но и улучшили свои экономические показатели в 2023 году.</w:t>
      </w:r>
      <w:r>
        <w:rPr>
          <w:color w:val="auto"/>
          <w:sz w:val="28"/>
          <w:szCs w:val="28"/>
        </w:rPr>
      </w:r>
      <w:r>
        <w:rPr>
          <w:color w:val="auto"/>
          <w:sz w:val="28"/>
          <w:szCs w:val="28"/>
        </w:rPr>
      </w:r>
    </w:p>
    <w:p>
      <w:pPr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Объем безвозмездных поступлений из областного бюджета в 2023 году, включая федеральные средства, составил 6 108,5 млн руб., или 92,6 % от плана. В целом по сравнению с 2022 годом в консолидированный бюджет </w:t>
      </w:r>
      <w:r>
        <w:rPr>
          <w:color w:val="auto"/>
          <w:sz w:val="28"/>
          <w:szCs w:val="28"/>
        </w:rPr>
        <w:t xml:space="preserve">поступило на 2 189,1 млн руб. больше (рост 156%). Это связано как с увеличением текущих меж</w:t>
      </w:r>
      <w:r>
        <w:rPr>
          <w:color w:val="auto"/>
          <w:sz w:val="28"/>
          <w:szCs w:val="28"/>
        </w:rPr>
        <w:t xml:space="preserve">бюджетных трансфертов, направляемых на функционирование муниципальных учреждений, прежде всего образовательных, так и с увеличением количества объектов социальной сферы и дорожно-коммунальной инфраструктуры, реализуемых на территории Новосибирского района.</w:t>
      </w:r>
      <w:r>
        <w:rPr>
          <w:color w:val="auto"/>
          <w:sz w:val="28"/>
          <w:szCs w:val="28"/>
        </w:rPr>
      </w:r>
      <w:r>
        <w:rPr>
          <w:color w:val="auto"/>
          <w:sz w:val="28"/>
          <w:szCs w:val="28"/>
        </w:rPr>
      </w:r>
    </w:p>
    <w:p>
      <w:pPr>
        <w:ind w:firstLine="709"/>
        <w:jc w:val="both"/>
        <w:tabs>
          <w:tab w:val="left" w:pos="709" w:leader="none"/>
          <w:tab w:val="left" w:pos="10206" w:leader="none"/>
        </w:tabs>
        <w:rPr>
          <w:sz w:val="28"/>
          <w:szCs w:val="28"/>
          <w:highlight w:val="white"/>
        </w:rPr>
      </w:pPr>
      <w:r>
        <w:rPr>
          <w:sz w:val="28"/>
          <w:szCs w:val="28"/>
        </w:rPr>
        <w:t xml:space="preserve">По информации межрайонной инспекции ФНС России № 23 по Новосибирской област</w:t>
      </w:r>
      <w:r>
        <w:rPr>
          <w:sz w:val="28"/>
          <w:szCs w:val="28"/>
          <w:highlight w:val="white"/>
        </w:rPr>
        <w:t xml:space="preserve">и в число крупных налогоплательщиков в бюджеты всех уровней вошли следующие предприятия и организации Новосибирского района: 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tabs>
          <w:tab w:val="left" w:pos="709" w:leader="none"/>
          <w:tab w:val="left" w:pos="10206" w:leader="none"/>
        </w:tabs>
        <w:rPr>
          <w:color w:val="000000" w:themeColor="text1"/>
          <w:sz w:val="28"/>
          <w:szCs w:val="28"/>
          <w:highlight w:val="white"/>
        </w:rPr>
      </w:pPr>
      <w:r>
        <w:rPr>
          <w:color w:val="000000" w:themeColor="text1"/>
          <w:sz w:val="28"/>
          <w:szCs w:val="28"/>
          <w:highlight w:val="white"/>
        </w:rPr>
        <w:t xml:space="preserve">1) по налогу на имущество организаций: АО «</w:t>
      </w:r>
      <w:r>
        <w:rPr>
          <w:color w:val="000000" w:themeColor="text1"/>
          <w:sz w:val="28"/>
          <w:szCs w:val="28"/>
          <w:highlight w:val="white"/>
        </w:rPr>
        <w:t xml:space="preserve">Кудряшовское</w:t>
      </w:r>
      <w:r>
        <w:rPr>
          <w:color w:val="000000" w:themeColor="text1"/>
          <w:sz w:val="28"/>
          <w:szCs w:val="28"/>
          <w:highlight w:val="white"/>
        </w:rPr>
        <w:t xml:space="preserve">», АО </w:t>
      </w:r>
      <w:r>
        <w:rPr>
          <w:color w:val="000000" w:themeColor="text1"/>
          <w:sz w:val="28"/>
          <w:szCs w:val="28"/>
          <w:highlight w:val="white"/>
        </w:rPr>
        <w:t xml:space="preserve">УК«</w:t>
      </w:r>
      <w:r>
        <w:rPr>
          <w:color w:val="000000" w:themeColor="text1"/>
          <w:sz w:val="28"/>
          <w:szCs w:val="28"/>
          <w:highlight w:val="white"/>
        </w:rPr>
        <w:t xml:space="preserve">Промышленно</w:t>
      </w:r>
      <w:r>
        <w:rPr>
          <w:color w:val="000000" w:themeColor="text1"/>
          <w:sz w:val="28"/>
          <w:szCs w:val="28"/>
          <w:highlight w:val="white"/>
        </w:rPr>
        <w:t xml:space="preserve"> – Логистический парк», ООО ТК «</w:t>
      </w:r>
      <w:r>
        <w:rPr>
          <w:color w:val="000000" w:themeColor="text1"/>
          <w:sz w:val="28"/>
          <w:szCs w:val="28"/>
          <w:highlight w:val="white"/>
        </w:rPr>
        <w:t xml:space="preserve">Толмачевский</w:t>
      </w:r>
      <w:r>
        <w:rPr>
          <w:color w:val="000000" w:themeColor="text1"/>
          <w:sz w:val="28"/>
          <w:szCs w:val="28"/>
          <w:highlight w:val="white"/>
        </w:rPr>
        <w:t xml:space="preserve">», ООО </w:t>
      </w:r>
      <w:r>
        <w:rPr>
          <w:color w:val="000000" w:themeColor="text1"/>
          <w:sz w:val="28"/>
          <w:szCs w:val="28"/>
          <w:highlight w:val="white"/>
        </w:rPr>
        <w:t xml:space="preserve">ТК«Новосибирский</w:t>
      </w:r>
      <w:r>
        <w:rPr>
          <w:color w:val="000000" w:themeColor="text1"/>
          <w:sz w:val="28"/>
          <w:szCs w:val="28"/>
          <w:highlight w:val="white"/>
        </w:rPr>
        <w:t xml:space="preserve">», ЗАО птицефабрика «Ново – </w:t>
      </w:r>
      <w:r>
        <w:rPr>
          <w:color w:val="000000" w:themeColor="text1"/>
          <w:sz w:val="28"/>
          <w:szCs w:val="28"/>
          <w:highlight w:val="white"/>
        </w:rPr>
        <w:t xml:space="preserve">Барышевская</w:t>
      </w:r>
      <w:r>
        <w:rPr>
          <w:color w:val="000000" w:themeColor="text1"/>
          <w:sz w:val="28"/>
          <w:szCs w:val="28"/>
          <w:highlight w:val="white"/>
        </w:rPr>
        <w:t xml:space="preserve">» (на долю данных организаций приходится 42,0% от всего объема уплаченного налога);</w:t>
      </w:r>
      <w:r>
        <w:rPr>
          <w:color w:val="000000" w:themeColor="text1"/>
          <w:sz w:val="28"/>
          <w:szCs w:val="28"/>
          <w:highlight w:val="white"/>
        </w:rPr>
      </w:r>
      <w:r>
        <w:rPr>
          <w:color w:val="000000" w:themeColor="text1"/>
          <w:sz w:val="28"/>
          <w:szCs w:val="28"/>
          <w:highlight w:val="white"/>
        </w:rPr>
      </w:r>
    </w:p>
    <w:p>
      <w:pPr>
        <w:ind w:firstLine="709"/>
        <w:jc w:val="both"/>
        <w:tabs>
          <w:tab w:val="left" w:pos="709" w:leader="none"/>
          <w:tab w:val="left" w:pos="10206" w:leader="none"/>
        </w:tabs>
        <w:rPr>
          <w:color w:val="000000" w:themeColor="text1"/>
          <w:sz w:val="28"/>
          <w:szCs w:val="28"/>
          <w:highlight w:val="white"/>
        </w:rPr>
      </w:pPr>
      <w:r>
        <w:rPr>
          <w:color w:val="000000" w:themeColor="text1"/>
          <w:sz w:val="28"/>
          <w:szCs w:val="28"/>
          <w:highlight w:val="white"/>
        </w:rPr>
        <w:t xml:space="preserve">2) по земельному налогу: АО УК «Промышленно – Логистический парк», </w:t>
      </w:r>
      <w:r>
        <w:rPr>
          <w:color w:val="000000" w:themeColor="text1"/>
          <w:sz w:val="28"/>
          <w:szCs w:val="28"/>
          <w:highlight w:val="white"/>
        </w:rPr>
        <w:t xml:space="preserve">ООО«</w:t>
      </w:r>
      <w:r>
        <w:rPr>
          <w:color w:val="000000" w:themeColor="text1"/>
          <w:sz w:val="28"/>
          <w:szCs w:val="28"/>
          <w:highlight w:val="white"/>
        </w:rPr>
        <w:t xml:space="preserve">Инженерные</w:t>
      </w:r>
      <w:r>
        <w:rPr>
          <w:color w:val="000000" w:themeColor="text1"/>
          <w:sz w:val="28"/>
          <w:szCs w:val="28"/>
          <w:highlight w:val="white"/>
        </w:rPr>
        <w:t xml:space="preserve"> Сети Трейд», Федеральное государственное бюджетное учреждение науки Сибирский федеральный научный центр </w:t>
      </w:r>
      <w:r>
        <w:rPr>
          <w:color w:val="000000" w:themeColor="text1"/>
          <w:sz w:val="28"/>
          <w:szCs w:val="28"/>
          <w:highlight w:val="white"/>
        </w:rPr>
        <w:t xml:space="preserve">Агробиотехнологий</w:t>
      </w:r>
      <w:r>
        <w:rPr>
          <w:color w:val="000000" w:themeColor="text1"/>
          <w:sz w:val="28"/>
          <w:szCs w:val="28"/>
          <w:highlight w:val="white"/>
        </w:rPr>
        <w:t xml:space="preserve"> Российской академии наук, ООО «Норд Сити </w:t>
      </w:r>
      <w:r>
        <w:rPr>
          <w:color w:val="000000" w:themeColor="text1"/>
          <w:sz w:val="28"/>
          <w:szCs w:val="28"/>
          <w:highlight w:val="white"/>
        </w:rPr>
        <w:t xml:space="preserve">Молл</w:t>
      </w:r>
      <w:r>
        <w:rPr>
          <w:color w:val="000000" w:themeColor="text1"/>
          <w:sz w:val="28"/>
          <w:szCs w:val="28"/>
          <w:highlight w:val="white"/>
        </w:rPr>
        <w:t xml:space="preserve">», ООО «Союз» (на долю данных организаций приходится 36,5% от всего объема уплаченного налога);</w:t>
      </w:r>
      <w:r>
        <w:rPr>
          <w:color w:val="000000" w:themeColor="text1"/>
          <w:sz w:val="28"/>
          <w:szCs w:val="28"/>
          <w:highlight w:val="white"/>
        </w:rPr>
      </w:r>
      <w:r>
        <w:rPr>
          <w:color w:val="000000" w:themeColor="text1"/>
          <w:sz w:val="28"/>
          <w:szCs w:val="28"/>
          <w:highlight w:val="white"/>
        </w:rPr>
      </w:r>
    </w:p>
    <w:p>
      <w:pPr>
        <w:ind w:firstLine="709"/>
        <w:jc w:val="both"/>
        <w:tabs>
          <w:tab w:val="left" w:pos="709" w:leader="none"/>
          <w:tab w:val="left" w:pos="10206" w:leader="none"/>
        </w:tabs>
        <w:rPr>
          <w:color w:val="000000" w:themeColor="text1"/>
          <w:sz w:val="28"/>
          <w:szCs w:val="28"/>
          <w:highlight w:val="white"/>
        </w:rPr>
      </w:pPr>
      <w:r>
        <w:rPr>
          <w:color w:val="000000" w:themeColor="text1"/>
          <w:sz w:val="28"/>
          <w:szCs w:val="28"/>
          <w:highlight w:val="white"/>
        </w:rPr>
        <w:t xml:space="preserve">3) по НДФЛ: ИП </w:t>
      </w:r>
      <w:r>
        <w:rPr>
          <w:color w:val="000000" w:themeColor="text1"/>
          <w:sz w:val="28"/>
          <w:szCs w:val="28"/>
          <w:highlight w:val="white"/>
        </w:rPr>
        <w:t xml:space="preserve">Кива</w:t>
      </w:r>
      <w:r>
        <w:rPr>
          <w:color w:val="000000" w:themeColor="text1"/>
          <w:sz w:val="28"/>
          <w:szCs w:val="28"/>
          <w:highlight w:val="white"/>
        </w:rPr>
        <w:t xml:space="preserve"> П.Н., ООО «</w:t>
      </w:r>
      <w:r>
        <w:rPr>
          <w:color w:val="000000" w:themeColor="text1"/>
          <w:sz w:val="28"/>
          <w:szCs w:val="28"/>
          <w:highlight w:val="white"/>
        </w:rPr>
        <w:t xml:space="preserve">Кудряшовский</w:t>
      </w:r>
      <w:r>
        <w:rPr>
          <w:color w:val="000000" w:themeColor="text1"/>
          <w:sz w:val="28"/>
          <w:szCs w:val="28"/>
          <w:highlight w:val="white"/>
        </w:rPr>
        <w:t xml:space="preserve"> мясокомбинат», ООО «</w:t>
      </w:r>
      <w:r>
        <w:rPr>
          <w:color w:val="000000" w:themeColor="text1"/>
          <w:sz w:val="28"/>
          <w:szCs w:val="28"/>
          <w:highlight w:val="white"/>
        </w:rPr>
        <w:t xml:space="preserve">Дорхан</w:t>
      </w:r>
      <w:r>
        <w:rPr>
          <w:color w:val="000000" w:themeColor="text1"/>
          <w:sz w:val="28"/>
          <w:szCs w:val="28"/>
          <w:highlight w:val="white"/>
        </w:rPr>
        <w:t xml:space="preserve"> 21 век – Новосибирск», ООО «КДВ Новосибирск», ООО «Сибирский Гурман – Новосибирск» (на долю данных организаций приходится 15,3% от всего объема уплаченного налога);</w:t>
      </w:r>
      <w:r>
        <w:rPr>
          <w:color w:val="000000" w:themeColor="text1"/>
          <w:sz w:val="28"/>
          <w:szCs w:val="28"/>
          <w:highlight w:val="white"/>
        </w:rPr>
      </w:r>
      <w:r>
        <w:rPr>
          <w:color w:val="000000" w:themeColor="text1"/>
          <w:sz w:val="28"/>
          <w:szCs w:val="28"/>
          <w:highlight w:val="white"/>
        </w:rPr>
      </w:r>
    </w:p>
    <w:p>
      <w:pPr>
        <w:ind w:firstLine="709"/>
        <w:jc w:val="both"/>
        <w:tabs>
          <w:tab w:val="left" w:pos="709" w:leader="none"/>
          <w:tab w:val="left" w:pos="10206" w:leader="none"/>
        </w:tabs>
        <w:rPr>
          <w:color w:val="000000" w:themeColor="text1"/>
          <w:sz w:val="28"/>
          <w:szCs w:val="28"/>
          <w:highlight w:val="white"/>
        </w:rPr>
      </w:pPr>
      <w:r>
        <w:rPr>
          <w:color w:val="000000" w:themeColor="text1"/>
          <w:sz w:val="28"/>
          <w:szCs w:val="28"/>
          <w:highlight w:val="white"/>
        </w:rPr>
        <w:t xml:space="preserve">4) по транспортному налогу организаций: ООО «Энергия», ООО «</w:t>
      </w:r>
      <w:r>
        <w:rPr>
          <w:color w:val="000000" w:themeColor="text1"/>
          <w:sz w:val="28"/>
          <w:szCs w:val="28"/>
          <w:highlight w:val="white"/>
        </w:rPr>
        <w:t xml:space="preserve">Сиб</w:t>
      </w:r>
      <w:r>
        <w:rPr>
          <w:color w:val="000000" w:themeColor="text1"/>
          <w:sz w:val="28"/>
          <w:szCs w:val="28"/>
          <w:highlight w:val="white"/>
        </w:rPr>
        <w:t xml:space="preserve">-Трак», ООО «</w:t>
      </w:r>
      <w:r>
        <w:rPr>
          <w:color w:val="000000" w:themeColor="text1"/>
          <w:sz w:val="28"/>
          <w:szCs w:val="28"/>
          <w:highlight w:val="white"/>
        </w:rPr>
        <w:t xml:space="preserve">Автолидер</w:t>
      </w:r>
      <w:r>
        <w:rPr>
          <w:color w:val="000000" w:themeColor="text1"/>
          <w:sz w:val="28"/>
          <w:szCs w:val="28"/>
          <w:highlight w:val="white"/>
        </w:rPr>
        <w:t xml:space="preserve">», ООО ТЭК «Авторитет», ООО «</w:t>
      </w:r>
      <w:r>
        <w:rPr>
          <w:color w:val="000000" w:themeColor="text1"/>
          <w:sz w:val="28"/>
          <w:szCs w:val="28"/>
          <w:highlight w:val="white"/>
        </w:rPr>
        <w:t xml:space="preserve">Новосибирскоблгаз</w:t>
      </w:r>
      <w:r>
        <w:rPr>
          <w:color w:val="000000" w:themeColor="text1"/>
          <w:sz w:val="28"/>
          <w:szCs w:val="28"/>
          <w:highlight w:val="white"/>
        </w:rPr>
        <w:t xml:space="preserve">» (на долю данных организаций приходится 21,5% от всего объема уплаченного налога).</w:t>
      </w:r>
      <w:r>
        <w:rPr>
          <w:color w:val="000000" w:themeColor="text1"/>
          <w:sz w:val="28"/>
          <w:szCs w:val="28"/>
          <w:highlight w:val="white"/>
        </w:rPr>
      </w:r>
      <w:r>
        <w:rPr>
          <w:color w:val="000000" w:themeColor="text1"/>
          <w:sz w:val="28"/>
          <w:szCs w:val="28"/>
          <w:highlight w:val="white"/>
        </w:rPr>
      </w:r>
    </w:p>
    <w:p>
      <w:pPr>
        <w:ind w:firstLine="709"/>
        <w:jc w:val="both"/>
        <w:tabs>
          <w:tab w:val="left" w:pos="709" w:leader="none"/>
          <w:tab w:val="left" w:pos="10206" w:leader="none"/>
        </w:tabs>
        <w:rPr>
          <w:color w:val="000000" w:themeColor="text1"/>
          <w:sz w:val="28"/>
          <w:szCs w:val="28"/>
          <w:highlight w:val="white"/>
        </w:rPr>
      </w:pPr>
      <w:r>
        <w:rPr>
          <w:color w:val="000000" w:themeColor="text1"/>
          <w:sz w:val="28"/>
          <w:szCs w:val="28"/>
          <w:highlight w:val="white"/>
        </w:rPr>
        <w:t xml:space="preserve">В 2023 году в рамках реализации Плана мероприятий, направ</w:t>
      </w:r>
      <w:r>
        <w:rPr>
          <w:color w:val="000000" w:themeColor="text1"/>
          <w:sz w:val="28"/>
          <w:szCs w:val="28"/>
          <w:highlight w:val="white"/>
        </w:rPr>
        <w:t xml:space="preserve">ленных на публичное информирование граждан по предупреждению образования и взыскания задолженности по налогам, сборам, страховых взносов, пени и штрафов на 2021-2023 годы, администрацией Новосибирского района Новосибирской области совместно с муниципальным</w:t>
      </w:r>
      <w:r>
        <w:rPr>
          <w:color w:val="000000" w:themeColor="text1"/>
          <w:sz w:val="28"/>
          <w:szCs w:val="28"/>
          <w:highlight w:val="white"/>
        </w:rPr>
        <w:t xml:space="preserve">и образованиями Новосибирского района проведена информационно-разъяснительная кампания о необходимости своевременного погашения задолженности по имущественным налогам физическими лицами. Охвачены все 18 территорий, на которых размещены печатные листовки и </w:t>
      </w:r>
      <w:r>
        <w:rPr>
          <w:color w:val="000000" w:themeColor="text1"/>
          <w:sz w:val="28"/>
          <w:szCs w:val="28"/>
          <w:highlight w:val="white"/>
        </w:rPr>
        <w:t xml:space="preserve">банеры</w:t>
      </w:r>
      <w:r>
        <w:rPr>
          <w:color w:val="000000" w:themeColor="text1"/>
          <w:sz w:val="28"/>
          <w:szCs w:val="28"/>
          <w:highlight w:val="white"/>
        </w:rPr>
        <w:t xml:space="preserve"> </w:t>
      </w:r>
      <w:r>
        <w:rPr>
          <w:color w:val="000000" w:themeColor="text1"/>
          <w:sz w:val="28"/>
          <w:szCs w:val="28"/>
          <w:highlight w:val="white"/>
        </w:rPr>
        <w:t xml:space="preserve"> в салона</w:t>
      </w:r>
      <w:r>
        <w:rPr>
          <w:color w:val="000000" w:themeColor="text1"/>
          <w:sz w:val="28"/>
          <w:szCs w:val="28"/>
          <w:highlight w:val="white"/>
        </w:rPr>
        <w:t xml:space="preserve">х пассажирского и общественного транспорта, в местах у касс в организации розничной торговли, на уличных информационных стендах, на досках объявлений в организациях культуры, здравоохранения, образования, отделениях банков и почты, на досках объявлений и л</w:t>
      </w:r>
      <w:r>
        <w:rPr>
          <w:color w:val="000000" w:themeColor="text1"/>
          <w:sz w:val="28"/>
          <w:szCs w:val="28"/>
          <w:highlight w:val="white"/>
        </w:rPr>
        <w:t xml:space="preserve">ифтах многоквартирных домах, а также опубликованы пресс-релиз, аудио- и видеоролики в СМИ, на официальных сайтах, социальных сетях и мессенджерах по предупреждению образования и взыскания задолженности по налогам, сборам, страховых взносов, пени и штрафов.</w:t>
      </w:r>
      <w:r>
        <w:rPr>
          <w:color w:val="000000" w:themeColor="text1"/>
          <w:sz w:val="28"/>
          <w:szCs w:val="28"/>
          <w:highlight w:val="white"/>
        </w:rPr>
      </w:r>
      <w:r>
        <w:rPr>
          <w:color w:val="000000" w:themeColor="text1"/>
          <w:sz w:val="28"/>
          <w:szCs w:val="28"/>
          <w:highlight w:val="white"/>
        </w:rPr>
      </w:r>
    </w:p>
    <w:p>
      <w:pPr>
        <w:ind w:firstLine="709"/>
        <w:jc w:val="both"/>
        <w:tabs>
          <w:tab w:val="left" w:pos="709" w:leader="none"/>
          <w:tab w:val="left" w:pos="10206" w:leader="none"/>
        </w:tabs>
        <w:rPr>
          <w:color w:val="000000" w:themeColor="text1"/>
          <w:sz w:val="28"/>
          <w:szCs w:val="28"/>
          <w:highlight w:val="white"/>
        </w:rPr>
      </w:pPr>
      <w:r>
        <w:rPr>
          <w:color w:val="000000" w:themeColor="text1"/>
          <w:sz w:val="28"/>
          <w:szCs w:val="28"/>
          <w:highlight w:val="white"/>
        </w:rPr>
      </w:r>
      <w:r>
        <w:rPr>
          <w:color w:val="000000" w:themeColor="text1"/>
          <w:sz w:val="28"/>
          <w:szCs w:val="28"/>
          <w:highlight w:val="white"/>
        </w:rPr>
      </w:r>
      <w:r>
        <w:rPr>
          <w:color w:val="000000" w:themeColor="text1"/>
          <w:sz w:val="28"/>
          <w:szCs w:val="28"/>
          <w:highlight w:val="white"/>
        </w:rPr>
      </w:r>
    </w:p>
    <w:p>
      <w:pPr>
        <w:ind w:firstLine="709"/>
        <w:jc w:val="both"/>
        <w:tabs>
          <w:tab w:val="left" w:pos="709" w:leader="none"/>
          <w:tab w:val="left" w:pos="10206" w:leader="none"/>
        </w:tabs>
        <w:rPr>
          <w:b/>
          <w:bCs/>
          <w:color w:val="000000" w:themeColor="text1"/>
          <w:sz w:val="28"/>
          <w:szCs w:val="28"/>
          <w:highlight w:val="white"/>
        </w:rPr>
      </w:pPr>
      <w:r>
        <w:rPr>
          <w:b/>
          <w:bCs/>
          <w:color w:val="000000" w:themeColor="text1"/>
          <w:sz w:val="28"/>
          <w:szCs w:val="28"/>
          <w:highlight w:val="white"/>
        </w:rPr>
        <w:t xml:space="preserve">4.2. Расходы бюджета</w:t>
      </w:r>
      <w:r>
        <w:rPr>
          <w:b/>
          <w:bCs/>
          <w:color w:val="000000" w:themeColor="text1"/>
          <w:sz w:val="28"/>
          <w:szCs w:val="28"/>
          <w:highlight w:val="white"/>
        </w:rPr>
      </w:r>
      <w:r>
        <w:rPr>
          <w:b/>
          <w:bCs/>
          <w:color w:val="000000" w:themeColor="text1"/>
          <w:sz w:val="28"/>
          <w:szCs w:val="28"/>
          <w:highlight w:val="white"/>
        </w:rPr>
      </w:r>
    </w:p>
    <w:p>
      <w:pPr>
        <w:ind w:firstLine="709"/>
        <w:jc w:val="both"/>
        <w:tabs>
          <w:tab w:val="left" w:pos="709" w:leader="none"/>
          <w:tab w:val="left" w:pos="10206" w:leader="none"/>
        </w:tabs>
        <w:rPr>
          <w:b/>
          <w:bCs/>
          <w:color w:val="000000" w:themeColor="text1"/>
          <w:sz w:val="28"/>
          <w:szCs w:val="28"/>
          <w:highlight w:val="white"/>
        </w:rPr>
      </w:pPr>
      <w:r>
        <w:rPr>
          <w:b/>
          <w:bCs/>
          <w:color w:val="000000" w:themeColor="text1"/>
          <w:sz w:val="28"/>
          <w:szCs w:val="28"/>
          <w:highlight w:val="white"/>
        </w:rPr>
      </w:r>
      <w:r>
        <w:rPr>
          <w:b/>
          <w:bCs/>
          <w:color w:val="000000" w:themeColor="text1"/>
          <w:sz w:val="28"/>
          <w:szCs w:val="28"/>
          <w:highlight w:val="white"/>
        </w:rPr>
      </w:r>
      <w:r>
        <w:rPr>
          <w:b/>
          <w:bCs/>
          <w:color w:val="000000" w:themeColor="text1"/>
          <w:sz w:val="28"/>
          <w:szCs w:val="28"/>
          <w:highlight w:val="white"/>
        </w:rPr>
      </w:r>
    </w:p>
    <w:p>
      <w:pPr>
        <w:ind w:firstLine="709"/>
        <w:jc w:val="both"/>
        <w:tabs>
          <w:tab w:val="left" w:pos="709" w:leader="none"/>
          <w:tab w:val="left" w:pos="10206" w:leader="none"/>
        </w:tabs>
        <w:rPr>
          <w:color w:val="000000" w:themeColor="text1"/>
          <w:sz w:val="28"/>
          <w:szCs w:val="28"/>
          <w:highlight w:val="white"/>
        </w:rPr>
      </w:pPr>
      <w:r>
        <w:rPr>
          <w:color w:val="000000" w:themeColor="text1"/>
          <w:sz w:val="28"/>
          <w:szCs w:val="28"/>
          <w:highlight w:val="white"/>
        </w:rPr>
        <w:t xml:space="preserve">Расходы бюджета Новосибирского района в 2023 году составили 9 701,0 млн руб., темп роста к 2022 году составил 141,7 %.</w:t>
      </w:r>
      <w:r>
        <w:rPr>
          <w:color w:val="000000" w:themeColor="text1"/>
          <w:sz w:val="28"/>
          <w:szCs w:val="28"/>
          <w:highlight w:val="white"/>
        </w:rPr>
      </w:r>
      <w:r>
        <w:rPr>
          <w:color w:val="000000" w:themeColor="text1"/>
          <w:sz w:val="28"/>
          <w:szCs w:val="28"/>
          <w:highlight w:val="white"/>
        </w:rPr>
      </w:r>
    </w:p>
    <w:p>
      <w:pPr>
        <w:ind w:firstLine="709"/>
        <w:jc w:val="both"/>
        <w:tabs>
          <w:tab w:val="left" w:pos="709" w:leader="none"/>
          <w:tab w:val="left" w:pos="10206" w:leader="none"/>
        </w:tabs>
        <w:rPr>
          <w:color w:val="000000" w:themeColor="text1"/>
          <w:sz w:val="28"/>
          <w:szCs w:val="28"/>
          <w:highlight w:val="white"/>
        </w:rPr>
      </w:pPr>
      <w:r>
        <w:rPr>
          <w:color w:val="000000" w:themeColor="text1"/>
          <w:sz w:val="28"/>
          <w:szCs w:val="28"/>
          <w:highlight w:val="white"/>
        </w:rPr>
        <w:t xml:space="preserve">Основная доля расходов бюджета приходится на следующие отрасли:</w:t>
      </w:r>
      <w:r>
        <w:rPr>
          <w:color w:val="000000" w:themeColor="text1"/>
          <w:sz w:val="28"/>
          <w:szCs w:val="28"/>
          <w:highlight w:val="white"/>
        </w:rPr>
      </w:r>
      <w:r>
        <w:rPr>
          <w:color w:val="000000" w:themeColor="text1"/>
          <w:sz w:val="28"/>
          <w:szCs w:val="28"/>
          <w:highlight w:val="white"/>
        </w:rPr>
      </w:r>
    </w:p>
    <w:p>
      <w:pPr>
        <w:ind w:firstLine="709"/>
        <w:jc w:val="both"/>
        <w:tabs>
          <w:tab w:val="left" w:pos="709" w:leader="none"/>
          <w:tab w:val="left" w:pos="10206" w:leader="none"/>
        </w:tabs>
        <w:rPr>
          <w:color w:val="000000" w:themeColor="text1"/>
          <w:sz w:val="28"/>
          <w:szCs w:val="28"/>
          <w:highlight w:val="white"/>
        </w:rPr>
      </w:pPr>
      <w:r>
        <w:rPr>
          <w:color w:val="000000" w:themeColor="text1"/>
          <w:sz w:val="28"/>
          <w:szCs w:val="28"/>
          <w:highlight w:val="white"/>
        </w:rPr>
        <w:t xml:space="preserve">- образование – 4 431,3 млн руб. (45,7% в общем объеме расходов);</w:t>
      </w:r>
      <w:r>
        <w:rPr>
          <w:color w:val="000000" w:themeColor="text1"/>
          <w:sz w:val="28"/>
          <w:szCs w:val="28"/>
          <w:highlight w:val="white"/>
        </w:rPr>
      </w:r>
      <w:r>
        <w:rPr>
          <w:color w:val="000000" w:themeColor="text1"/>
          <w:sz w:val="28"/>
          <w:szCs w:val="28"/>
          <w:highlight w:val="white"/>
        </w:rPr>
      </w:r>
    </w:p>
    <w:p>
      <w:pPr>
        <w:ind w:firstLine="709"/>
        <w:jc w:val="both"/>
        <w:tabs>
          <w:tab w:val="left" w:pos="709" w:leader="none"/>
          <w:tab w:val="left" w:pos="10206" w:leader="none"/>
        </w:tabs>
        <w:rPr>
          <w:color w:val="000000" w:themeColor="text1"/>
          <w:sz w:val="28"/>
          <w:szCs w:val="28"/>
          <w:highlight w:val="white"/>
        </w:rPr>
      </w:pPr>
      <w:r>
        <w:rPr>
          <w:color w:val="000000" w:themeColor="text1"/>
          <w:sz w:val="28"/>
          <w:szCs w:val="28"/>
          <w:highlight w:val="white"/>
        </w:rPr>
        <w:t xml:space="preserve">- жилищно-коммунальное хозяйство – 2 676,1 млн руб. (27,6%);</w:t>
      </w:r>
      <w:r>
        <w:rPr>
          <w:color w:val="000000" w:themeColor="text1"/>
          <w:sz w:val="28"/>
          <w:szCs w:val="28"/>
          <w:highlight w:val="white"/>
        </w:rPr>
      </w:r>
      <w:r>
        <w:rPr>
          <w:color w:val="000000" w:themeColor="text1"/>
          <w:sz w:val="28"/>
          <w:szCs w:val="28"/>
          <w:highlight w:val="white"/>
        </w:rPr>
      </w:r>
    </w:p>
    <w:p>
      <w:pPr>
        <w:ind w:firstLine="709"/>
        <w:jc w:val="both"/>
        <w:tabs>
          <w:tab w:val="left" w:pos="709" w:leader="none"/>
          <w:tab w:val="left" w:pos="10206" w:leader="none"/>
        </w:tabs>
        <w:rPr>
          <w:color w:val="000000" w:themeColor="text1"/>
          <w:sz w:val="28"/>
          <w:szCs w:val="28"/>
          <w:highlight w:val="white"/>
        </w:rPr>
      </w:pPr>
      <w:r>
        <w:rPr>
          <w:color w:val="000000" w:themeColor="text1"/>
          <w:sz w:val="28"/>
          <w:szCs w:val="28"/>
          <w:highlight w:val="white"/>
        </w:rPr>
        <w:t xml:space="preserve">- национальная экономика – 795,4 млн. руб. (8,2%);</w:t>
      </w:r>
      <w:r>
        <w:rPr>
          <w:color w:val="000000" w:themeColor="text1"/>
          <w:sz w:val="28"/>
          <w:szCs w:val="28"/>
          <w:highlight w:val="white"/>
        </w:rPr>
      </w:r>
      <w:r>
        <w:rPr>
          <w:color w:val="000000" w:themeColor="text1"/>
          <w:sz w:val="28"/>
          <w:szCs w:val="28"/>
          <w:highlight w:val="white"/>
        </w:rPr>
      </w:r>
    </w:p>
    <w:p>
      <w:pPr>
        <w:ind w:firstLine="709"/>
        <w:jc w:val="both"/>
        <w:tabs>
          <w:tab w:val="left" w:pos="709" w:leader="none"/>
          <w:tab w:val="left" w:pos="10206" w:leader="none"/>
        </w:tabs>
        <w:rPr>
          <w:color w:val="000000" w:themeColor="text1"/>
          <w:sz w:val="28"/>
          <w:szCs w:val="28"/>
          <w:highlight w:val="white"/>
        </w:rPr>
      </w:pPr>
      <w:r>
        <w:rPr>
          <w:color w:val="000000" w:themeColor="text1"/>
          <w:sz w:val="28"/>
          <w:szCs w:val="28"/>
          <w:highlight w:val="white"/>
        </w:rPr>
        <w:t xml:space="preserve">- культура – 565,9 млн руб. (5,8 %);</w:t>
      </w:r>
      <w:r>
        <w:rPr>
          <w:color w:val="000000" w:themeColor="text1"/>
          <w:sz w:val="28"/>
          <w:szCs w:val="28"/>
          <w:highlight w:val="white"/>
        </w:rPr>
      </w:r>
      <w:r>
        <w:rPr>
          <w:color w:val="000000" w:themeColor="text1"/>
          <w:sz w:val="28"/>
          <w:szCs w:val="28"/>
          <w:highlight w:val="white"/>
        </w:rPr>
      </w:r>
    </w:p>
    <w:p>
      <w:pPr>
        <w:ind w:firstLine="709"/>
        <w:jc w:val="both"/>
        <w:tabs>
          <w:tab w:val="left" w:pos="709" w:leader="none"/>
          <w:tab w:val="left" w:pos="10206" w:leader="none"/>
        </w:tabs>
        <w:rPr>
          <w:color w:val="000000" w:themeColor="text1"/>
          <w:sz w:val="28"/>
          <w:szCs w:val="28"/>
          <w:highlight w:val="white"/>
        </w:rPr>
      </w:pPr>
      <w:r>
        <w:rPr>
          <w:color w:val="000000" w:themeColor="text1"/>
          <w:sz w:val="28"/>
          <w:szCs w:val="28"/>
          <w:highlight w:val="white"/>
        </w:rPr>
        <w:t xml:space="preserve">- социальная политика – 330,3 млн руб. (3,4%).</w:t>
      </w:r>
      <w:r>
        <w:rPr>
          <w:color w:val="000000" w:themeColor="text1"/>
          <w:sz w:val="28"/>
          <w:szCs w:val="28"/>
          <w:highlight w:val="white"/>
        </w:rPr>
      </w:r>
      <w:r>
        <w:rPr>
          <w:color w:val="000000" w:themeColor="text1"/>
          <w:sz w:val="28"/>
          <w:szCs w:val="28"/>
          <w:highlight w:val="white"/>
        </w:rPr>
      </w:r>
    </w:p>
    <w:p>
      <w:pPr>
        <w:ind w:firstLine="709"/>
        <w:jc w:val="both"/>
        <w:tabs>
          <w:tab w:val="left" w:pos="709" w:leader="none"/>
          <w:tab w:val="left" w:pos="10206" w:leader="none"/>
        </w:tabs>
        <w:rPr>
          <w:color w:val="000000" w:themeColor="text1"/>
          <w:sz w:val="28"/>
          <w:szCs w:val="28"/>
          <w:highlight w:val="white"/>
        </w:rPr>
      </w:pPr>
      <w:r>
        <w:rPr>
          <w:color w:val="000000" w:themeColor="text1"/>
          <w:sz w:val="28"/>
          <w:szCs w:val="28"/>
          <w:highlight w:val="white"/>
        </w:rPr>
        <w:t xml:space="preserve">Бюджетная обеспеченность в расчете на одного жителя в 2023 году составила 59 506,8 руб. (увеличение на 23,9 %), обеспеченность налоговыми и неналоговыми доходами на человека – 22 897,5 руб. (увеличение на 1,7%). </w:t>
      </w:r>
      <w:r>
        <w:rPr>
          <w:color w:val="000000" w:themeColor="text1"/>
          <w:sz w:val="28"/>
          <w:szCs w:val="28"/>
          <w:highlight w:val="white"/>
        </w:rPr>
      </w:r>
      <w:r>
        <w:rPr>
          <w:color w:val="000000" w:themeColor="text1"/>
          <w:sz w:val="28"/>
          <w:szCs w:val="28"/>
          <w:highlight w:val="white"/>
        </w:rPr>
      </w:r>
    </w:p>
    <w:p>
      <w:r/>
      <w:r/>
    </w:p>
    <w:p>
      <w:pPr>
        <w:ind w:firstLine="709"/>
        <w:jc w:val="both"/>
        <w:widowControl w:val="off"/>
        <w:rPr>
          <w:color w:val="auto"/>
          <w:sz w:val="28"/>
        </w:rPr>
      </w:pPr>
      <w:r>
        <w:rPr>
          <w:color w:val="auto"/>
          <w:sz w:val="28"/>
        </w:rPr>
      </w:r>
      <w:r>
        <w:rPr>
          <w:color w:val="auto"/>
          <w:sz w:val="28"/>
        </w:rPr>
      </w:r>
      <w:r>
        <w:rPr>
          <w:color w:val="auto"/>
          <w:sz w:val="28"/>
        </w:rPr>
      </w:r>
    </w:p>
    <w:p>
      <w:pPr>
        <w:ind w:left="709"/>
        <w:tabs>
          <w:tab w:val="left" w:pos="7770" w:leader="none"/>
        </w:tabs>
        <w:rPr>
          <w:b/>
          <w:sz w:val="28"/>
        </w:rPr>
      </w:pPr>
      <w:r>
        <w:rPr>
          <w:b/>
          <w:sz w:val="28"/>
        </w:rPr>
        <w:t xml:space="preserve">V. Социальная сфера</w:t>
      </w:r>
      <w:r>
        <w:rPr>
          <w:b/>
          <w:sz w:val="28"/>
        </w:rPr>
      </w:r>
      <w:r>
        <w:rPr>
          <w:b/>
          <w:sz w:val="28"/>
        </w:rPr>
      </w:r>
    </w:p>
    <w:p>
      <w:pPr>
        <w:ind w:firstLine="709"/>
        <w:rPr>
          <w:b/>
          <w:i/>
          <w:sz w:val="28"/>
        </w:rPr>
      </w:pPr>
      <w:r>
        <w:rPr>
          <w:b/>
          <w:i/>
          <w:sz w:val="28"/>
        </w:rPr>
      </w:r>
      <w:r>
        <w:rPr>
          <w:b/>
          <w:i/>
          <w:sz w:val="28"/>
        </w:rPr>
      </w:r>
      <w:r>
        <w:rPr>
          <w:b/>
          <w:i/>
          <w:sz w:val="28"/>
        </w:rPr>
      </w:r>
    </w:p>
    <w:p>
      <w:pPr>
        <w:ind w:firstLine="709"/>
        <w:rPr>
          <w:b/>
          <w:bCs/>
          <w:i/>
          <w:sz w:val="28"/>
          <w:szCs w:val="28"/>
        </w:rPr>
      </w:pPr>
      <w:r>
        <w:rPr>
          <w:b/>
          <w:i/>
          <w:sz w:val="28"/>
        </w:rPr>
        <w:t xml:space="preserve">5.1</w:t>
      </w:r>
      <w:r>
        <w:rPr>
          <w:sz w:val="28"/>
        </w:rPr>
        <w:t xml:space="preserve">. </w:t>
      </w:r>
      <w:r>
        <w:rPr>
          <w:b/>
          <w:i/>
          <w:sz w:val="28"/>
        </w:rPr>
        <w:t xml:space="preserve">Население, труд и занятость </w:t>
      </w:r>
      <w:r>
        <w:rPr>
          <w:b/>
          <w:bCs/>
          <w:i/>
          <w:sz w:val="28"/>
          <w:szCs w:val="28"/>
        </w:rPr>
      </w:r>
      <w:r>
        <w:rPr>
          <w:b/>
          <w:bCs/>
          <w:i/>
          <w:sz w:val="28"/>
          <w:szCs w:val="28"/>
        </w:rPr>
      </w:r>
    </w:p>
    <w:p>
      <w:pPr>
        <w:ind w:firstLine="709"/>
        <w:rPr>
          <w:b/>
          <w:bCs/>
          <w:i/>
          <w:sz w:val="28"/>
          <w:szCs w:val="28"/>
        </w:rPr>
      </w:pPr>
      <w:r>
        <w:rPr>
          <w:b/>
          <w:bCs/>
          <w:i/>
          <w:sz w:val="28"/>
          <w:szCs w:val="28"/>
        </w:rPr>
      </w:r>
      <w:r>
        <w:rPr>
          <w:b/>
          <w:bCs/>
          <w:i/>
          <w:sz w:val="28"/>
          <w:szCs w:val="28"/>
        </w:rPr>
      </w:r>
      <w:r>
        <w:rPr>
          <w:b/>
          <w:bCs/>
          <w:i/>
          <w:sz w:val="28"/>
          <w:szCs w:val="28"/>
        </w:rPr>
      </w:r>
    </w:p>
    <w:p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  <w:highlight w:val="white"/>
        </w:rPr>
        <w:t xml:space="preserve">Основным источником обеспечения благосостояния населения является развитый рынок труда, предлагающий населению возм</w:t>
      </w:r>
      <w:r>
        <w:rPr>
          <w:sz w:val="28"/>
          <w:szCs w:val="28"/>
          <w:highlight w:val="white"/>
        </w:rPr>
        <w:t xml:space="preserve">ожность реализации своих профессиональных знаний и навыков и получения материального вознаграждения, соответствующего качеству и количеству затраченного труда. Наличие необходимых трудовых ресурсов, является одним из ключевых факторов развития территории.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tabs>
          <w:tab w:val="left" w:pos="567" w:leader="none"/>
          <w:tab w:val="left" w:pos="10206" w:leader="none"/>
        </w:tabs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По данным территориального органа Федеральной службы государственной статистики по Новосибирс</w:t>
      </w:r>
      <w:r>
        <w:rPr>
          <w:sz w:val="28"/>
          <w:szCs w:val="28"/>
          <w:highlight w:val="white"/>
        </w:rPr>
        <w:t xml:space="preserve">кой </w:t>
      </w:r>
      <w:r>
        <w:rPr>
          <w:sz w:val="28"/>
          <w:szCs w:val="28"/>
          <w:highlight w:val="white"/>
        </w:rPr>
        <w:t xml:space="preserve">области  численность</w:t>
      </w:r>
      <w:r>
        <w:rPr>
          <w:sz w:val="28"/>
          <w:szCs w:val="28"/>
          <w:highlight w:val="white"/>
        </w:rPr>
        <w:t xml:space="preserve">  населения Новосибирского района на конец  2022 года  составила 165,7 тыс. человек, а на конец 2023 года </w:t>
      </w:r>
      <w:r>
        <w:rPr>
          <w:sz w:val="28"/>
          <w:highlight w:val="white"/>
        </w:rPr>
        <w:t xml:space="preserve">–</w:t>
      </w:r>
      <w:r>
        <w:rPr>
          <w:sz w:val="28"/>
          <w:szCs w:val="28"/>
          <w:highlight w:val="white"/>
        </w:rPr>
        <w:t xml:space="preserve"> 170,6 тыс. человек. Прирост населения составил 3%, что свидетельствует о сохранении положительной динамики прироста численности населения в Новосибирском районе</w:t>
      </w:r>
      <w:r>
        <w:rPr>
          <w:sz w:val="28"/>
          <w:szCs w:val="28"/>
          <w:highlight w:val="white"/>
        </w:rPr>
        <w:t xml:space="preserve">. </w:t>
      </w:r>
      <w:r>
        <w:rPr>
          <w:sz w:val="28"/>
          <w:highlight w:val="white"/>
        </w:rPr>
        <w:t xml:space="preserve">Из общей численности сельское население района составляет 139956 человек (82 %), городское – 30722 человек (18 %). Основным фактором роста численности населения в Новосибирском районе последние годы остается миграционный прирост. 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 </w:t>
      </w:r>
      <w:r>
        <w:rPr>
          <w:sz w:val="28"/>
          <w:highlight w:val="white"/>
        </w:rPr>
        <w:t xml:space="preserve">Численность трудоспособного населения на 01.01.2023 год в Новосибирском районе по данным официальной статистики составляла 97,5 тыс. человек.</w:t>
      </w:r>
      <w:r>
        <w:rPr>
          <w:sz w:val="28"/>
          <w:szCs w:val="28"/>
          <w:highlight w:val="white"/>
        </w:rPr>
        <w:t xml:space="preserve"> </w:t>
      </w:r>
      <w:r>
        <w:rPr>
          <w:sz w:val="28"/>
          <w:szCs w:val="28"/>
          <w:highlight w:val="white"/>
        </w:rPr>
        <w:t xml:space="preserve">Численность занятых в организациях, расположенных на территории Новосибирского района в 2023 году – 47,80 тыс. человек, что больше на 0,4 % по сравнению с 2022 годом (47,6 тыс. человек).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spacing w:line="91" w:lineRule="atLeast"/>
        <w:shd w:val="clear" w:color="ffffff" w:fill="ffffff"/>
        <w:rPr>
          <w:sz w:val="28"/>
          <w:szCs w:val="28"/>
          <w:highlight w:val="whit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sz w:val="28"/>
          <w:szCs w:val="28"/>
          <w:highlight w:val="white"/>
        </w:rPr>
        <w:t xml:space="preserve">В 2023 году ситуация на рын</w:t>
      </w:r>
      <w:r>
        <w:rPr>
          <w:sz w:val="28"/>
          <w:szCs w:val="28"/>
          <w:highlight w:val="white"/>
        </w:rPr>
        <w:t xml:space="preserve">ке труда Новосибирского района характеризовалась устойчивым и стабильным понижением уровня безработицы. Если по состоянию на конец 2022 года уровень безработицы в Новосибирском районе составил 0,9 %, то по итогам 2023 года этот показатель равен 0,5 %, что </w:t>
      </w:r>
      <w:r>
        <w:rPr>
          <w:sz w:val="28"/>
          <w:szCs w:val="28"/>
          <w:highlight w:val="white"/>
        </w:rPr>
        <w:t xml:space="preserve">существенно ниже показателя по Новосибирской области (</w:t>
      </w:r>
      <w:r>
        <w:rPr>
          <w:color w:val="000000" w:themeColor="text1"/>
          <w:sz w:val="28"/>
          <w:szCs w:val="28"/>
          <w:highlight w:val="white"/>
        </w:rPr>
        <w:t xml:space="preserve">уровень зарегистрированной безработицы в Новосибирской области на конец 2023 года составил 1,2 % численности рабочей силы</w:t>
      </w:r>
      <w:r>
        <w:rPr>
          <w:color w:val="000000" w:themeColor="text1"/>
          <w:sz w:val="28"/>
          <w:szCs w:val="28"/>
          <w:highlight w:val="white"/>
        </w:rPr>
        <w:t xml:space="preserve">)</w:t>
      </w:r>
      <w:r>
        <w:rPr>
          <w:sz w:val="28"/>
          <w:szCs w:val="28"/>
          <w:highlight w:val="white"/>
        </w:rPr>
        <w:t xml:space="preserve">.</w:t>
      </w:r>
      <w:r>
        <w:rPr>
          <w:sz w:val="28"/>
          <w:szCs w:val="28"/>
          <w:highlight w:val="white"/>
        </w:rPr>
        <w:t xml:space="preserve"> В 2023 году работодателями было заявлено 3724 вакансии.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right="-2" w:firstLine="567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Количество безработных на конец года составило 594 человека, это на 292 человека меньше, чем в 2022 году (886 чел.). Таким высоким темпам сни</w:t>
      </w:r>
      <w:r>
        <w:rPr>
          <w:sz w:val="28"/>
          <w:highlight w:val="white"/>
        </w:rPr>
        <w:t xml:space="preserve">жения численности безработных способствовала реализация центром занятости населения Новосибирского района комплекса мероприятий по профессиональному обучению и дополнительному профессиональному образованию отдельных категорий граждан в рамках реализации фе</w:t>
      </w:r>
      <w:r>
        <w:rPr>
          <w:sz w:val="28"/>
          <w:highlight w:val="white"/>
        </w:rPr>
        <w:t xml:space="preserve">дерального проекта «Содействие занятости» национального проекта «Демография», где было обучено 352 гражданина Новосибирского района. В свободное от учебы время было организовано временное трудоустройство несовершеннолетних граждан в количестве 794 человек.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right="-2" w:firstLine="567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Также, в рамках государственной программы Российской Федерации «Социальная поддержка граждан» получили социальную</w:t>
      </w:r>
      <w:r>
        <w:rPr>
          <w:sz w:val="28"/>
          <w:szCs w:val="28"/>
          <w:highlight w:val="white"/>
        </w:rPr>
        <w:t xml:space="preserve"> помощь и заключили социальный контракт по поиску работы 100 человек (2022 г. – 210 человек), по организации индивидуальной предпринимательской деятельности – 70 человек зарегистрировалось в качестве индивидуальных предпринимателей (2022 г. – 50 человек). 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right="-2" w:firstLine="567"/>
        <w:jc w:val="both"/>
        <w:rPr>
          <w:highlight w:val="white"/>
        </w:rPr>
      </w:pPr>
      <w:r>
        <w:rPr>
          <w:sz w:val="28"/>
          <w:szCs w:val="28"/>
          <w:highlight w:val="white"/>
        </w:rPr>
        <w:t xml:space="preserve">За 2023 год при администрации Новосибирского района Новосибирской области</w:t>
      </w:r>
      <w:r>
        <w:rPr>
          <w:sz w:val="28"/>
          <w:szCs w:val="28"/>
          <w:highlight w:val="white"/>
        </w:rPr>
        <w:t xml:space="preserve"> </w:t>
      </w:r>
      <w:r>
        <w:rPr>
          <w:sz w:val="28"/>
          <w:szCs w:val="28"/>
          <w:highlight w:val="white"/>
        </w:rPr>
        <w:t xml:space="preserve">проведено 4 заседания межведомственной комиссии по вопросам оплаты труда и снижения нелегальной трудовой занятости работников организаций Новосибирского района.</w:t>
      </w:r>
      <w:r>
        <w:rPr>
          <w:highlight w:val="white"/>
        </w:rPr>
        <w:t xml:space="preserve"> </w:t>
      </w:r>
      <w:r>
        <w:rPr>
          <w:sz w:val="28"/>
          <w:szCs w:val="28"/>
          <w:highlight w:val="white"/>
        </w:rPr>
        <w:t xml:space="preserve">На заседания межведомственной комиссии были приглашены 118 индивидуальных предпринимателей и руководителей </w:t>
      </w:r>
      <w:r>
        <w:rPr>
          <w:sz w:val="28"/>
          <w:szCs w:val="28"/>
          <w:highlight w:val="white"/>
        </w:rPr>
        <w:t xml:space="preserve">организаций,   </w:t>
      </w:r>
      <w:r>
        <w:rPr>
          <w:sz w:val="28"/>
          <w:szCs w:val="28"/>
          <w:highlight w:val="white"/>
        </w:rPr>
        <w:t xml:space="preserve">в которых среднемесячная оплата труда работников ниже величины минимального размера оплаты труда.</w:t>
      </w:r>
      <w:r>
        <w:rPr>
          <w:highlight w:val="white"/>
        </w:rPr>
      </w:r>
      <w:r>
        <w:rPr>
          <w:highlight w:val="white"/>
        </w:rPr>
      </w:r>
    </w:p>
    <w:p>
      <w:pPr>
        <w:ind w:right="-2" w:firstLine="567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По результатам работы комиссии рассмотрено, заслушано и вынесено решение по 34 организациям и индивидуальным предпринимателя</w:t>
      </w:r>
      <w:r>
        <w:rPr>
          <w:sz w:val="28"/>
          <w:szCs w:val="28"/>
          <w:highlight w:val="white"/>
        </w:rPr>
        <w:t xml:space="preserve">м. Результат работы – легализация трудовых отношений с 1059 работниками организаций, находящихся на территории Новосибирского района Новосибирской области (из них с 938 работниками заключены трудовые договоры, 51 гражданин зарегистрирован как ИП, 70 – как </w:t>
      </w:r>
      <w:r>
        <w:rPr>
          <w:sz w:val="28"/>
          <w:szCs w:val="28"/>
          <w:highlight w:val="white"/>
        </w:rPr>
        <w:t xml:space="preserve">самозанятые</w:t>
      </w:r>
      <w:r>
        <w:rPr>
          <w:sz w:val="28"/>
          <w:szCs w:val="28"/>
          <w:highlight w:val="white"/>
        </w:rPr>
        <w:t xml:space="preserve">)</w:t>
      </w:r>
      <w:r>
        <w:rPr>
          <w:sz w:val="28"/>
          <w:szCs w:val="28"/>
          <w:highlight w:val="white"/>
        </w:rPr>
        <w:t xml:space="preserve">. 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jc w:val="both"/>
        <w:tabs>
          <w:tab w:val="left" w:pos="567" w:leader="none"/>
          <w:tab w:val="left" w:pos="10206" w:leader="none"/>
        </w:tabs>
        <w:rPr>
          <w:sz w:val="28"/>
          <w:highlight w:val="white"/>
        </w:rPr>
      </w:pPr>
      <w:r>
        <w:rPr>
          <w:sz w:val="28"/>
          <w:highlight w:val="white"/>
        </w:rPr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9"/>
        <w:jc w:val="both"/>
        <w:tabs>
          <w:tab w:val="left" w:pos="10206" w:leader="none"/>
        </w:tabs>
        <w:rPr>
          <w:b/>
          <w:bCs/>
          <w:i/>
          <w:sz w:val="28"/>
          <w:szCs w:val="28"/>
          <w:highlight w:val="white"/>
        </w:rPr>
        <w:outlineLvl w:val="1"/>
      </w:pPr>
      <w:r>
        <w:rPr>
          <w:b/>
          <w:i/>
          <w:sz w:val="28"/>
          <w:highlight w:val="white"/>
        </w:rPr>
        <w:t xml:space="preserve">5.2. Уровень жизни и доходы населения</w:t>
      </w:r>
      <w:r>
        <w:rPr>
          <w:b/>
          <w:bCs/>
          <w:i/>
          <w:sz w:val="28"/>
          <w:szCs w:val="28"/>
          <w:highlight w:val="white"/>
        </w:rPr>
      </w:r>
      <w:r>
        <w:rPr>
          <w:b/>
          <w:bCs/>
          <w:i/>
          <w:sz w:val="28"/>
          <w:szCs w:val="28"/>
          <w:highlight w:val="white"/>
        </w:rPr>
      </w:r>
    </w:p>
    <w:p>
      <w:pPr>
        <w:ind w:right="-2" w:firstLine="567"/>
        <w:jc w:val="both"/>
        <w:rPr>
          <w:color w:val="000000" w:themeColor="text1"/>
          <w:highlight w:val="white"/>
        </w:rPr>
      </w:pPr>
      <w:r>
        <w:rPr>
          <w:sz w:val="28"/>
          <w:highlight w:val="white"/>
        </w:rPr>
        <w:t xml:space="preserve">Средняя заработная плата работников Новосибирского района по всем категориям предприятий в 2023 году выросла на 18,8 </w:t>
      </w:r>
      <w:r>
        <w:rPr>
          <w:sz w:val="28"/>
          <w:highlight w:val="white"/>
        </w:rPr>
        <w:t xml:space="preserve">%  по</w:t>
      </w:r>
      <w:r>
        <w:rPr>
          <w:sz w:val="28"/>
          <w:highlight w:val="white"/>
        </w:rPr>
        <w:t xml:space="preserve"> сравнению с 2022 годом и составила 58 809 руб. </w:t>
      </w:r>
      <w:r>
        <w:rPr>
          <w:color w:val="000000" w:themeColor="text1"/>
          <w:highlight w:val="white"/>
        </w:rPr>
      </w:r>
      <w:r>
        <w:rPr>
          <w:color w:val="000000" w:themeColor="text1"/>
          <w:highlight w:val="white"/>
        </w:rPr>
      </w:r>
    </w:p>
    <w:p>
      <w:pPr>
        <w:ind w:firstLine="709"/>
        <w:jc w:val="both"/>
        <w:tabs>
          <w:tab w:val="left" w:pos="567" w:leader="none"/>
          <w:tab w:val="left" w:pos="10206" w:leader="none"/>
        </w:tabs>
        <w:rPr>
          <w:sz w:val="28"/>
          <w:szCs w:val="28"/>
          <w:highlight w:val="white"/>
        </w:rPr>
      </w:pPr>
      <w:r>
        <w:rPr>
          <w:sz w:val="28"/>
          <w:highlight w:val="white"/>
        </w:rPr>
        <w:t xml:space="preserve">В бюджетной сфере среднемесячная заработная плата увеличилась на 19,2 % и составила 48 206,0 руб. 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tabs>
          <w:tab w:val="left" w:pos="567" w:leader="none"/>
          <w:tab w:val="left" w:pos="10206" w:leader="none"/>
        </w:tabs>
        <w:rPr>
          <w:sz w:val="28"/>
        </w:rPr>
      </w:pPr>
      <w:r>
        <w:rPr>
          <w:sz w:val="28"/>
          <w:highlight w:val="white"/>
        </w:rPr>
        <w:t xml:space="preserve">По данным пенсионного фонда по Новосибирской области на конец 2023 года в районе проживают 42 336 (в 2022 году- 42064) пенсионеров, средний </w:t>
      </w:r>
      <w:r>
        <w:rPr>
          <w:sz w:val="28"/>
          <w:highlight w:val="white"/>
        </w:rPr>
        <w:t xml:space="preserve">размер пенсии в 2023 году увеличился на 6,8 % к уровню ср</w:t>
      </w:r>
      <w:r>
        <w:rPr>
          <w:sz w:val="28"/>
          <w:highlight w:val="white"/>
        </w:rPr>
        <w:t xml:space="preserve">едней пенсии в 2022 году и составил – 19 211,34 руб.  </w:t>
      </w:r>
      <w:r>
        <w:rPr>
          <w:sz w:val="28"/>
        </w:rPr>
      </w:r>
      <w:r>
        <w:rPr>
          <w:sz w:val="28"/>
        </w:rPr>
      </w:r>
    </w:p>
    <w:p>
      <w:pPr>
        <w:ind w:firstLine="709"/>
        <w:jc w:val="both"/>
        <w:tabs>
          <w:tab w:val="left" w:pos="567" w:leader="none"/>
          <w:tab w:val="left" w:pos="10206" w:leader="none"/>
        </w:tabs>
        <w:rPr>
          <w:sz w:val="28"/>
        </w:rPr>
      </w:pPr>
      <w:r>
        <w:rPr>
          <w:sz w:val="28"/>
          <w:highlight w:val="white"/>
        </w:rPr>
        <w:t xml:space="preserve">Средний душевой доход населения района в 2023 году увеличился на 14,7 % по сравнению с 2022 годом и составил 35 263 руб.  </w:t>
      </w:r>
      <w:r>
        <w:rPr>
          <w:sz w:val="28"/>
        </w:rPr>
      </w:r>
      <w:r>
        <w:rPr>
          <w:sz w:val="28"/>
        </w:rPr>
      </w:r>
    </w:p>
    <w:p>
      <w:pPr>
        <w:contextualSpacing/>
        <w:ind w:firstLine="709"/>
        <w:jc w:val="both"/>
        <w:rPr>
          <w:sz w:val="28"/>
        </w:rPr>
      </w:pPr>
      <w:r>
        <w:rPr>
          <w:sz w:val="28"/>
        </w:rPr>
      </w:r>
      <w:r>
        <w:rPr>
          <w:sz w:val="28"/>
        </w:rPr>
      </w:r>
      <w:r>
        <w:rPr>
          <w:sz w:val="28"/>
        </w:rPr>
      </w:r>
    </w:p>
    <w:p>
      <w:pPr>
        <w:pStyle w:val="966"/>
        <w:ind w:left="1418" w:hanging="709"/>
        <w:jc w:val="both"/>
        <w:tabs>
          <w:tab w:val="left" w:pos="10206" w:leader="none"/>
        </w:tabs>
        <w:rPr>
          <w:sz w:val="28"/>
        </w:rPr>
      </w:pPr>
      <w:r>
        <w:rPr>
          <w:sz w:val="28"/>
        </w:rPr>
        <w:t xml:space="preserve">5.3. Образование</w:t>
      </w:r>
      <w:r>
        <w:rPr>
          <w:sz w:val="28"/>
        </w:rPr>
      </w:r>
      <w:r>
        <w:rPr>
          <w:sz w:val="28"/>
        </w:rPr>
      </w:r>
    </w:p>
    <w:p>
      <w:r/>
      <w:r/>
    </w:p>
    <w:p>
      <w:pPr>
        <w:contextualSpacing/>
        <w:ind w:firstLine="709"/>
        <w:jc w:val="both"/>
        <w:rPr>
          <w:bCs/>
          <w:sz w:val="28"/>
          <w:highlight w:val="white"/>
        </w:rPr>
      </w:pPr>
      <w:r>
        <w:rPr>
          <w:bCs/>
          <w:sz w:val="28"/>
          <w:highlight w:val="white"/>
        </w:rPr>
        <w:t xml:space="preserve">На территории </w:t>
      </w:r>
      <w:r>
        <w:rPr>
          <w:bCs/>
          <w:sz w:val="28"/>
          <w:highlight w:val="white"/>
        </w:rPr>
        <w:t xml:space="preserve">Новосибирского района в 2023 году образовательную деятельность осуществляли 67 муниципальных образовательных организаций: 40 общеобразовательных, 20 дошкольных, 7 учреждений дополнительного образования, а также МКОУ «Центр диагностики и консультирования». </w:t>
      </w:r>
      <w:r>
        <w:rPr>
          <w:bCs/>
          <w:sz w:val="28"/>
          <w:highlight w:val="white"/>
        </w:rPr>
      </w:r>
      <w:r>
        <w:rPr>
          <w:bCs/>
          <w:sz w:val="28"/>
          <w:highlight w:val="white"/>
        </w:rPr>
      </w:r>
    </w:p>
    <w:p>
      <w:pPr>
        <w:contextualSpacing/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Образовательная сеть расширилась в отчетном году за счет открытия в Каменском сельсовете нового муниципального общеобразовательного учреждения на 1100 мест – </w:t>
      </w:r>
      <w:r>
        <w:rPr>
          <w:sz w:val="28"/>
          <w:highlight w:val="white"/>
        </w:rPr>
        <w:t xml:space="preserve">МАОУ  «</w:t>
      </w:r>
      <w:r>
        <w:rPr>
          <w:sz w:val="28"/>
          <w:highlight w:val="white"/>
        </w:rPr>
        <w:t xml:space="preserve">Центр образования «Восход», нового корпуса МБДОУ - детского сада «Кубики» на 292 места в </w:t>
      </w:r>
      <w:r>
        <w:rPr>
          <w:sz w:val="28"/>
          <w:highlight w:val="white"/>
        </w:rPr>
        <w:t xml:space="preserve">Толмачевском</w:t>
      </w:r>
      <w:r>
        <w:rPr>
          <w:sz w:val="28"/>
          <w:highlight w:val="white"/>
        </w:rPr>
        <w:t xml:space="preserve"> сельсовете, а также за счет  60 дополнительно созданных новых мест дошкольного образования в МБОУ «Каменская СОШ № 44».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contextualSpacing/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В муниципальную систему учреждений дополнительного образования включено МАУ ДО «Центр физической культуры и спорта «Олимпия».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contextualSpacing/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В 2023 году МБДОУ – детский сад «Земляничка» реорганизован путем присоединения к </w:t>
      </w:r>
      <w:r>
        <w:rPr>
          <w:sz w:val="28"/>
          <w:highlight w:val="white"/>
        </w:rPr>
        <w:t xml:space="preserve">нему  МКДОУ</w:t>
      </w:r>
      <w:r>
        <w:rPr>
          <w:sz w:val="28"/>
          <w:highlight w:val="white"/>
        </w:rPr>
        <w:t xml:space="preserve"> – детского сада «Василек».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contextualSpacing/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Среднесписочная численность работников системы образования увеличилась на 222 чел. в сравнении с 2022 годом и составила 3 656 человек, из них педагогических работников – 2134 человека, что на 164 чел. больше, чем </w:t>
      </w:r>
      <w:r>
        <w:rPr>
          <w:sz w:val="28"/>
          <w:highlight w:val="white"/>
        </w:rPr>
        <w:t xml:space="preserve">в  2022</w:t>
      </w:r>
      <w:r>
        <w:rPr>
          <w:sz w:val="28"/>
          <w:highlight w:val="white"/>
        </w:rPr>
        <w:t xml:space="preserve"> году.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contextualSpacing/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Средняя заработная плата педагогических работников общего образования составляет 49 353,1 рублей (темп роста 116,6 %), работников дошкольного образования – 49 551,8 рублей (116,3 %), работников дополнительного образования – 53 278 рублей (117,9 %).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contextualSpacing/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Число обучающихся возросло по сравнению с 2022 годом на 1 798 чел.  и достигло 22 238 чел., число </w:t>
      </w:r>
      <w:r>
        <w:rPr>
          <w:sz w:val="28"/>
          <w:highlight w:val="white"/>
        </w:rPr>
        <w:t xml:space="preserve">воспитанников  дошкольных</w:t>
      </w:r>
      <w:r>
        <w:rPr>
          <w:sz w:val="28"/>
          <w:highlight w:val="white"/>
        </w:rPr>
        <w:t xml:space="preserve"> учреждений – 6 949, что на 115 детей больше, чем в 2022 году; в учреждениях дополнительного образования занимались 9 671 обучающийся, что выше по сравнению с предыдущим годом на 522 чел. 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contextualSpacing/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Охват детей от 2 мес. до 7 лет дошкольным образованием по сравнению с 2022 годом вырос на 6% и достиг 99%.</w:t>
      </w:r>
      <w:r>
        <w:rPr>
          <w:sz w:val="28"/>
          <w:szCs w:val="28"/>
          <w:highlight w:val="white"/>
        </w:rPr>
        <w:t xml:space="preserve"> 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9"/>
        <w:jc w:val="both"/>
        <w:shd w:val="clear" w:color="auto" w:fill="ffffff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Горячее питание получают 95,5% обучающихся. В начальных классах </w:t>
      </w:r>
      <w:r>
        <w:rPr>
          <w:sz w:val="28"/>
          <w:highlight w:val="white"/>
        </w:rPr>
        <w:t xml:space="preserve">–</w:t>
      </w:r>
      <w:r>
        <w:rPr>
          <w:sz w:val="28"/>
          <w:szCs w:val="28"/>
          <w:highlight w:val="white"/>
        </w:rPr>
        <w:t xml:space="preserve"> 100% (без учета детей на надомном обучении, получающих денежную компенсацию за питание).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contextualSpacing/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Обновление материально-технической базы муниципальных образовательных организаций осуществлялось за счет средств федерального, регионального и местного бюджетов. 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8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В соответствии с федеральным проектом «Современная школа» национального проекта «Образование» в МБОУ «</w:t>
      </w:r>
      <w:r>
        <w:rPr>
          <w:sz w:val="28"/>
          <w:szCs w:val="28"/>
          <w:highlight w:val="white"/>
        </w:rPr>
        <w:t xml:space="preserve">Краснояровская</w:t>
      </w:r>
      <w:r>
        <w:rPr>
          <w:sz w:val="28"/>
          <w:szCs w:val="28"/>
          <w:highlight w:val="white"/>
        </w:rPr>
        <w:t xml:space="preserve"> школа № 30 </w:t>
      </w:r>
      <w:r>
        <w:rPr>
          <w:sz w:val="28"/>
          <w:szCs w:val="28"/>
          <w:highlight w:val="white"/>
        </w:rPr>
        <w:br/>
        <w:t xml:space="preserve">им. Героя России А. Галле» открыт новый центр образования естественно-научной </w:t>
      </w:r>
      <w:r>
        <w:rPr>
          <w:sz w:val="28"/>
          <w:szCs w:val="28"/>
          <w:highlight w:val="white"/>
        </w:rPr>
        <w:t xml:space="preserve">и технологической направленностей «Точка роста». В рамках данного проекта выполнены ремонтные работы по приведению помещений к </w:t>
      </w:r>
      <w:r>
        <w:rPr>
          <w:sz w:val="28"/>
          <w:szCs w:val="28"/>
          <w:highlight w:val="white"/>
        </w:rPr>
        <w:t xml:space="preserve">брендбуку</w:t>
      </w:r>
      <w:r>
        <w:rPr>
          <w:sz w:val="28"/>
          <w:szCs w:val="28"/>
          <w:highlight w:val="white"/>
        </w:rPr>
        <w:t xml:space="preserve"> «Точка роста».</w:t>
      </w:r>
      <w:r>
        <w:rPr>
          <w:color w:val="ff0000"/>
          <w:sz w:val="28"/>
          <w:highlight w:val="white"/>
        </w:rPr>
        <w:t xml:space="preserve"> </w:t>
      </w:r>
      <w:r>
        <w:rPr>
          <w:sz w:val="28"/>
          <w:highlight w:val="white"/>
        </w:rPr>
        <w:t xml:space="preserve">Общие затраты составили 2,1 </w:t>
      </w:r>
      <w:r>
        <w:rPr>
          <w:sz w:val="28"/>
          <w:highlight w:val="white"/>
        </w:rPr>
        <w:t xml:space="preserve">млн.руб</w:t>
      </w:r>
      <w:r>
        <w:rPr>
          <w:sz w:val="28"/>
          <w:highlight w:val="white"/>
        </w:rPr>
        <w:t xml:space="preserve">., из них 2 </w:t>
      </w:r>
      <w:r>
        <w:rPr>
          <w:sz w:val="28"/>
          <w:highlight w:val="white"/>
        </w:rPr>
        <w:t xml:space="preserve">млн.руб</w:t>
      </w:r>
      <w:r>
        <w:rPr>
          <w:sz w:val="28"/>
          <w:highlight w:val="white"/>
        </w:rPr>
        <w:t xml:space="preserve">. – областной бюджет и 105 </w:t>
      </w:r>
      <w:r>
        <w:rPr>
          <w:sz w:val="28"/>
          <w:highlight w:val="white"/>
        </w:rPr>
        <w:t xml:space="preserve">тыс.руб</w:t>
      </w:r>
      <w:r>
        <w:rPr>
          <w:sz w:val="28"/>
          <w:highlight w:val="white"/>
        </w:rPr>
        <w:t xml:space="preserve">. – средства бюджета Новосибирского района. 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8"/>
        <w:jc w:val="both"/>
        <w:rPr>
          <w:sz w:val="28"/>
          <w:szCs w:val="28"/>
          <w:highlight w:val="white"/>
        </w:rPr>
      </w:pPr>
      <w:r>
        <w:rPr>
          <w:sz w:val="28"/>
          <w:highlight w:val="white"/>
        </w:rPr>
        <w:t xml:space="preserve">Всего в районе за три года создано 18 </w:t>
      </w:r>
      <w:r>
        <w:rPr>
          <w:sz w:val="28"/>
          <w:highlight w:val="white"/>
        </w:rPr>
        <w:t xml:space="preserve">центров  «</w:t>
      </w:r>
      <w:r>
        <w:rPr>
          <w:sz w:val="28"/>
          <w:highlight w:val="white"/>
        </w:rPr>
        <w:t xml:space="preserve">Точка роста».  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rFonts w:eastAsia="Calibri"/>
          <w:sz w:val="28"/>
          <w:szCs w:val="28"/>
          <w:highlight w:val="white"/>
        </w:rPr>
      </w:pPr>
      <w:r>
        <w:rPr>
          <w:rFonts w:eastAsia="Calibri"/>
          <w:sz w:val="28"/>
          <w:szCs w:val="28"/>
          <w:highlight w:val="white"/>
        </w:rPr>
        <w:t xml:space="preserve">В рамках государственной программы Новосибирской области «Построение и развитие аппаратно-программного комплекса «Безопасный город» в Новосибирской области» реализованы мероприятия </w:t>
      </w:r>
      <w:r>
        <w:rPr>
          <w:rFonts w:eastAsia="Calibri"/>
          <w:sz w:val="28"/>
          <w:szCs w:val="28"/>
          <w:highlight w:val="white"/>
        </w:rPr>
        <w:t xml:space="preserve">по установке и модернизации систем видеонаблюдения, автоматической пожарной сигнализации и пожарного мониторинга, а также проведена замена (модернизация) автоматических пожарных сигнализаций в 12 образовательных организациях района на общую сумму 8 400,00 </w:t>
      </w:r>
      <w:r>
        <w:rPr>
          <w:rFonts w:eastAsia="Calibri"/>
          <w:sz w:val="28"/>
          <w:szCs w:val="28"/>
          <w:highlight w:val="white"/>
        </w:rPr>
        <w:t xml:space="preserve">тыс.руб</w:t>
      </w:r>
      <w:r>
        <w:rPr>
          <w:rFonts w:eastAsia="Calibri"/>
          <w:sz w:val="28"/>
          <w:szCs w:val="28"/>
          <w:highlight w:val="white"/>
        </w:rPr>
        <w:t xml:space="preserve">.</w:t>
      </w:r>
      <w:r>
        <w:rPr>
          <w:rFonts w:eastAsia="Calibri"/>
          <w:sz w:val="28"/>
          <w:szCs w:val="28"/>
          <w:highlight w:val="white"/>
        </w:rPr>
      </w:r>
      <w:r>
        <w:rPr>
          <w:rFonts w:eastAsia="Calibri"/>
          <w:sz w:val="28"/>
          <w:szCs w:val="28"/>
          <w:highlight w:val="white"/>
        </w:rPr>
      </w:r>
    </w:p>
    <w:p>
      <w:pPr>
        <w:ind w:firstLine="709"/>
        <w:jc w:val="both"/>
        <w:rPr>
          <w:rFonts w:eastAsia="Calibri"/>
          <w:sz w:val="28"/>
          <w:szCs w:val="28"/>
          <w:highlight w:val="white"/>
        </w:rPr>
      </w:pPr>
      <w:r>
        <w:rPr>
          <w:sz w:val="28"/>
          <w:highlight w:val="white"/>
        </w:rPr>
        <w:t xml:space="preserve">В 2023 году по муниципальной программе «Создание условий для функционирования муниципальных образовательных учреждений Новосибирского района Новосибирской области» выполнены ремонтные работы в </w:t>
      </w:r>
      <w:r>
        <w:rPr>
          <w:sz w:val="28"/>
          <w:highlight w:val="white"/>
        </w:rPr>
        <w:t xml:space="preserve">образовательных  учреждениях</w:t>
      </w:r>
      <w:r>
        <w:rPr>
          <w:sz w:val="28"/>
          <w:highlight w:val="white"/>
        </w:rPr>
        <w:t xml:space="preserve"> района на общую сумму 129 469 тыс. руб. Наиболее значимые из них:</w:t>
      </w:r>
      <w:r>
        <w:rPr>
          <w:rFonts w:eastAsia="Calibri"/>
          <w:sz w:val="28"/>
          <w:szCs w:val="28"/>
          <w:highlight w:val="white"/>
        </w:rPr>
      </w:r>
      <w:r>
        <w:rPr>
          <w:rFonts w:eastAsia="Calibri"/>
          <w:sz w:val="28"/>
          <w:szCs w:val="28"/>
          <w:highlight w:val="white"/>
        </w:rPr>
      </w:r>
    </w:p>
    <w:p>
      <w:pPr>
        <w:ind w:firstLine="709"/>
        <w:jc w:val="both"/>
        <w:rPr>
          <w:rFonts w:eastAsia="Calibri"/>
          <w:sz w:val="28"/>
          <w:szCs w:val="28"/>
          <w:highlight w:val="white"/>
        </w:rPr>
      </w:pPr>
      <w:r>
        <w:rPr>
          <w:sz w:val="28"/>
          <w:highlight w:val="white"/>
        </w:rPr>
        <w:t xml:space="preserve">- капитальный ремонт кровельных покрытий на общую сумму 23 307,00 тыс. руб. (в том числе в МБОУ «</w:t>
      </w:r>
      <w:r>
        <w:rPr>
          <w:sz w:val="28"/>
          <w:highlight w:val="white"/>
        </w:rPr>
        <w:t xml:space="preserve">Новолуговская</w:t>
      </w:r>
      <w:r>
        <w:rPr>
          <w:sz w:val="28"/>
          <w:highlight w:val="white"/>
        </w:rPr>
        <w:t xml:space="preserve"> средняя школа № 57»</w:t>
      </w:r>
      <w:r>
        <w:rPr>
          <w:rFonts w:eastAsia="Calibri"/>
          <w:sz w:val="28"/>
          <w:szCs w:val="28"/>
          <w:highlight w:val="white"/>
        </w:rPr>
        <w:t xml:space="preserve">, в </w:t>
      </w:r>
      <w:r>
        <w:rPr>
          <w:sz w:val="28"/>
          <w:highlight w:val="white"/>
        </w:rPr>
        <w:t xml:space="preserve">МКДОУ - детский сад «Золотой ключик»</w:t>
      </w:r>
      <w:r>
        <w:rPr>
          <w:rFonts w:eastAsia="Calibri"/>
          <w:sz w:val="28"/>
          <w:szCs w:val="28"/>
          <w:highlight w:val="white"/>
        </w:rPr>
        <w:t xml:space="preserve">);</w:t>
      </w:r>
      <w:r>
        <w:rPr>
          <w:rFonts w:eastAsia="Calibri"/>
          <w:sz w:val="28"/>
          <w:szCs w:val="28"/>
          <w:highlight w:val="white"/>
        </w:rPr>
      </w:r>
      <w:r>
        <w:rPr>
          <w:rFonts w:eastAsia="Calibri"/>
          <w:sz w:val="28"/>
          <w:szCs w:val="28"/>
          <w:highlight w:val="white"/>
        </w:rPr>
      </w:r>
    </w:p>
    <w:p>
      <w:pPr>
        <w:contextualSpacing/>
        <w:ind w:firstLine="709"/>
        <w:jc w:val="both"/>
        <w:rPr>
          <w:highlight w:val="white"/>
        </w:rPr>
      </w:pPr>
      <w:r>
        <w:rPr>
          <w:sz w:val="28"/>
          <w:highlight w:val="white"/>
        </w:rPr>
        <w:t xml:space="preserve">- ремонты пищеблоков – 7 877,00 тыс. руб. (МБДОУ – детский сад «Чебурашка», МБДОУ – детский сад «Росток», МБОУ «Ленинская СОШ № 47», МБОУ – Железнодорожная СОШ № 121, МБОУ – </w:t>
      </w:r>
      <w:r>
        <w:rPr>
          <w:sz w:val="28"/>
          <w:highlight w:val="white"/>
        </w:rPr>
        <w:t xml:space="preserve">Плотниковская</w:t>
      </w:r>
      <w:r>
        <w:rPr>
          <w:sz w:val="28"/>
          <w:highlight w:val="white"/>
        </w:rPr>
        <w:t xml:space="preserve"> СОШ № 111)</w:t>
      </w:r>
      <w:r>
        <w:rPr>
          <w:highlight w:val="white"/>
        </w:rPr>
        <w:t xml:space="preserve">;</w:t>
      </w:r>
      <w:r>
        <w:rPr>
          <w:highlight w:val="white"/>
        </w:rPr>
      </w:r>
      <w:r>
        <w:rPr>
          <w:highlight w:val="white"/>
        </w:rPr>
      </w:r>
    </w:p>
    <w:p>
      <w:pPr>
        <w:ind w:firstLine="709"/>
        <w:jc w:val="both"/>
        <w:rPr>
          <w:rFonts w:eastAsia="Calibri"/>
          <w:sz w:val="28"/>
          <w:szCs w:val="28"/>
          <w:highlight w:val="white"/>
        </w:rPr>
      </w:pPr>
      <w:r>
        <w:rPr>
          <w:rFonts w:eastAsia="Calibri"/>
          <w:sz w:val="28"/>
          <w:szCs w:val="28"/>
          <w:highlight w:val="white"/>
        </w:rPr>
        <w:t xml:space="preserve">- благоустройство территорий, в том числе установка наружного освещения; асфальтирование территорий, ремонт асфальтобетонного покрытия и крылец – 17 462,00 </w:t>
      </w:r>
      <w:r>
        <w:rPr>
          <w:rFonts w:eastAsia="Calibri"/>
          <w:sz w:val="28"/>
          <w:szCs w:val="28"/>
          <w:highlight w:val="white"/>
        </w:rPr>
        <w:t xml:space="preserve">тыс.руб</w:t>
      </w:r>
      <w:r>
        <w:rPr>
          <w:rFonts w:eastAsia="Calibri"/>
          <w:sz w:val="28"/>
          <w:szCs w:val="28"/>
          <w:highlight w:val="white"/>
        </w:rPr>
        <w:t xml:space="preserve">. (МБДОУ – детский сад «Чебурашка», МБДОУ – детский сад «Теремок</w:t>
      </w:r>
      <w:r>
        <w:rPr>
          <w:rFonts w:eastAsia="Calibri"/>
          <w:sz w:val="28"/>
          <w:szCs w:val="28"/>
          <w:highlight w:val="white"/>
        </w:rPr>
        <w:t xml:space="preserve">»,  МАОУ</w:t>
      </w:r>
      <w:r>
        <w:rPr>
          <w:rFonts w:eastAsia="Calibri"/>
          <w:sz w:val="28"/>
          <w:szCs w:val="28"/>
          <w:highlight w:val="white"/>
        </w:rPr>
        <w:t xml:space="preserve"> – детский сад «Колосок», МБДОУ – детский сад «Белочка», МБОУ </w:t>
      </w:r>
      <w:r>
        <w:rPr>
          <w:rFonts w:eastAsia="Calibri"/>
          <w:sz w:val="28"/>
          <w:szCs w:val="28"/>
          <w:highlight w:val="white"/>
        </w:rPr>
        <w:t xml:space="preserve">Кудряшовская</w:t>
      </w:r>
      <w:r>
        <w:rPr>
          <w:rFonts w:eastAsia="Calibri"/>
          <w:sz w:val="28"/>
          <w:szCs w:val="28"/>
          <w:highlight w:val="white"/>
        </w:rPr>
        <w:t xml:space="preserve"> СОШ № 25);</w:t>
      </w:r>
      <w:r>
        <w:rPr>
          <w:rFonts w:eastAsia="Calibri"/>
          <w:sz w:val="28"/>
          <w:szCs w:val="28"/>
          <w:highlight w:val="white"/>
        </w:rPr>
      </w:r>
      <w:r>
        <w:rPr>
          <w:rFonts w:eastAsia="Calibri"/>
          <w:sz w:val="28"/>
          <w:szCs w:val="28"/>
          <w:highlight w:val="white"/>
        </w:rPr>
      </w:r>
    </w:p>
    <w:p>
      <w:pPr>
        <w:ind w:firstLine="709"/>
        <w:jc w:val="both"/>
        <w:rPr>
          <w:rFonts w:eastAsia="Calibri"/>
          <w:sz w:val="28"/>
          <w:szCs w:val="28"/>
          <w:highlight w:val="white"/>
        </w:rPr>
      </w:pPr>
      <w:r>
        <w:rPr>
          <w:rFonts w:eastAsia="Calibri"/>
          <w:sz w:val="28"/>
          <w:szCs w:val="28"/>
          <w:highlight w:val="white"/>
        </w:rPr>
        <w:t xml:space="preserve">- установка ограждений – 8 200,00 </w:t>
      </w:r>
      <w:r>
        <w:rPr>
          <w:rFonts w:eastAsia="Calibri"/>
          <w:sz w:val="28"/>
          <w:szCs w:val="28"/>
          <w:highlight w:val="white"/>
        </w:rPr>
        <w:t xml:space="preserve">тыс.руб</w:t>
      </w:r>
      <w:r>
        <w:rPr>
          <w:rFonts w:eastAsia="Calibri"/>
          <w:sz w:val="28"/>
          <w:szCs w:val="28"/>
          <w:highlight w:val="white"/>
        </w:rPr>
        <w:t xml:space="preserve">. (МБОУ – </w:t>
      </w:r>
      <w:r>
        <w:rPr>
          <w:rFonts w:eastAsia="Calibri"/>
          <w:sz w:val="28"/>
          <w:szCs w:val="28"/>
          <w:highlight w:val="white"/>
        </w:rPr>
        <w:t xml:space="preserve">Криводановская</w:t>
      </w:r>
      <w:r>
        <w:rPr>
          <w:rFonts w:eastAsia="Calibri"/>
          <w:sz w:val="28"/>
          <w:szCs w:val="28"/>
          <w:highlight w:val="white"/>
        </w:rPr>
        <w:t xml:space="preserve"> СШ № 22; МБОУ – СОШ № 18 ст. </w:t>
      </w:r>
      <w:r>
        <w:rPr>
          <w:rFonts w:eastAsia="Calibri"/>
          <w:sz w:val="28"/>
          <w:szCs w:val="28"/>
          <w:highlight w:val="white"/>
        </w:rPr>
        <w:t xml:space="preserve">Мочище</w:t>
      </w:r>
      <w:r>
        <w:rPr>
          <w:rFonts w:eastAsia="Calibri"/>
          <w:sz w:val="28"/>
          <w:szCs w:val="28"/>
          <w:highlight w:val="white"/>
        </w:rPr>
        <w:t xml:space="preserve">; </w:t>
      </w:r>
      <w:r>
        <w:rPr>
          <w:sz w:val="28"/>
          <w:highlight w:val="white"/>
        </w:rPr>
        <w:t xml:space="preserve">МБОУ «Ленинская СОШ № 47»);</w:t>
      </w:r>
      <w:r>
        <w:rPr>
          <w:rFonts w:eastAsia="Calibri"/>
          <w:sz w:val="28"/>
          <w:szCs w:val="28"/>
          <w:highlight w:val="white"/>
        </w:rPr>
      </w:r>
      <w:r>
        <w:rPr>
          <w:rFonts w:eastAsia="Calibri"/>
          <w:sz w:val="28"/>
          <w:szCs w:val="28"/>
          <w:highlight w:val="white"/>
        </w:rPr>
      </w:r>
    </w:p>
    <w:p>
      <w:pPr>
        <w:ind w:firstLine="709"/>
        <w:jc w:val="both"/>
        <w:rPr>
          <w:rFonts w:eastAsia="Calibri"/>
          <w:sz w:val="28"/>
          <w:szCs w:val="28"/>
          <w:highlight w:val="white"/>
        </w:rPr>
      </w:pPr>
      <w:r>
        <w:rPr>
          <w:rFonts w:eastAsia="Calibri"/>
          <w:sz w:val="28"/>
          <w:szCs w:val="28"/>
          <w:highlight w:val="white"/>
        </w:rPr>
        <w:t xml:space="preserve">- ремонт инженерных сетей электроснабжения – 5 100,00 </w:t>
      </w:r>
      <w:r>
        <w:rPr>
          <w:rFonts w:eastAsia="Calibri"/>
          <w:sz w:val="28"/>
          <w:szCs w:val="28"/>
          <w:highlight w:val="white"/>
        </w:rPr>
        <w:t xml:space="preserve">тыс.руб</w:t>
      </w:r>
      <w:r>
        <w:rPr>
          <w:rFonts w:eastAsia="Calibri"/>
          <w:sz w:val="28"/>
          <w:szCs w:val="28"/>
          <w:highlight w:val="white"/>
        </w:rPr>
        <w:t xml:space="preserve">. (МБДОУ – детский сад «Белочка», МБОУ «</w:t>
      </w:r>
      <w:r>
        <w:rPr>
          <w:rFonts w:eastAsia="Calibri"/>
          <w:sz w:val="28"/>
          <w:szCs w:val="28"/>
          <w:highlight w:val="white"/>
        </w:rPr>
        <w:t xml:space="preserve">Краснояровская</w:t>
      </w:r>
      <w:r>
        <w:rPr>
          <w:rFonts w:eastAsia="Calibri"/>
          <w:sz w:val="28"/>
          <w:szCs w:val="28"/>
          <w:highlight w:val="white"/>
        </w:rPr>
        <w:t xml:space="preserve"> школа № 30»);  </w:t>
      </w:r>
      <w:r>
        <w:rPr>
          <w:rFonts w:eastAsia="Calibri"/>
          <w:sz w:val="28"/>
          <w:szCs w:val="28"/>
          <w:highlight w:val="white"/>
        </w:rPr>
      </w:r>
      <w:r>
        <w:rPr>
          <w:rFonts w:eastAsia="Calibri"/>
          <w:sz w:val="28"/>
          <w:szCs w:val="28"/>
          <w:highlight w:val="white"/>
        </w:rPr>
      </w:r>
    </w:p>
    <w:p>
      <w:pPr>
        <w:ind w:firstLine="709"/>
        <w:jc w:val="both"/>
        <w:rPr>
          <w:rFonts w:eastAsia="Calibri"/>
          <w:sz w:val="28"/>
          <w:szCs w:val="28"/>
          <w:highlight w:val="white"/>
        </w:rPr>
      </w:pPr>
      <w:r>
        <w:rPr>
          <w:rFonts w:eastAsia="Calibri"/>
          <w:sz w:val="28"/>
          <w:szCs w:val="28"/>
          <w:highlight w:val="white"/>
        </w:rPr>
        <w:t xml:space="preserve">- ремонты спортивных залов – 3 400,00 </w:t>
      </w:r>
      <w:r>
        <w:rPr>
          <w:rFonts w:eastAsia="Calibri"/>
          <w:sz w:val="28"/>
          <w:szCs w:val="28"/>
          <w:highlight w:val="white"/>
        </w:rPr>
        <w:t xml:space="preserve">тыс.руб</w:t>
      </w:r>
      <w:r>
        <w:rPr>
          <w:rFonts w:eastAsia="Calibri"/>
          <w:sz w:val="28"/>
          <w:szCs w:val="28"/>
          <w:highlight w:val="white"/>
        </w:rPr>
        <w:t xml:space="preserve">. (МБОУ «Мичуринская № 123», МБОУ – </w:t>
      </w:r>
      <w:r>
        <w:rPr>
          <w:rFonts w:eastAsia="Calibri"/>
          <w:sz w:val="28"/>
          <w:szCs w:val="28"/>
          <w:highlight w:val="white"/>
        </w:rPr>
        <w:t xml:space="preserve">Криводановская</w:t>
      </w:r>
      <w:r>
        <w:rPr>
          <w:rFonts w:eastAsia="Calibri"/>
          <w:sz w:val="28"/>
          <w:szCs w:val="28"/>
          <w:highlight w:val="white"/>
        </w:rPr>
        <w:t xml:space="preserve"> СШ № 22, МАОУ «</w:t>
      </w:r>
      <w:r>
        <w:rPr>
          <w:rFonts w:eastAsia="Calibri"/>
          <w:sz w:val="28"/>
          <w:szCs w:val="28"/>
          <w:highlight w:val="white"/>
        </w:rPr>
        <w:t xml:space="preserve">Толмачевская</w:t>
      </w:r>
      <w:r>
        <w:rPr>
          <w:rFonts w:eastAsia="Calibri"/>
          <w:sz w:val="28"/>
          <w:szCs w:val="28"/>
          <w:highlight w:val="white"/>
        </w:rPr>
        <w:t xml:space="preserve"> СОШ № 61»);</w:t>
      </w:r>
      <w:r>
        <w:rPr>
          <w:rFonts w:eastAsia="Calibri"/>
          <w:sz w:val="28"/>
          <w:szCs w:val="28"/>
          <w:highlight w:val="white"/>
        </w:rPr>
      </w:r>
      <w:r>
        <w:rPr>
          <w:rFonts w:eastAsia="Calibri"/>
          <w:sz w:val="28"/>
          <w:szCs w:val="28"/>
          <w:highlight w:val="white"/>
        </w:rPr>
      </w:r>
    </w:p>
    <w:p>
      <w:pPr>
        <w:ind w:firstLine="709"/>
        <w:jc w:val="both"/>
        <w:rPr>
          <w:rFonts w:eastAsia="Calibri"/>
          <w:sz w:val="28"/>
          <w:szCs w:val="28"/>
          <w:highlight w:val="white"/>
        </w:rPr>
      </w:pPr>
      <w:r>
        <w:rPr>
          <w:rFonts w:eastAsia="Calibri"/>
          <w:sz w:val="28"/>
          <w:szCs w:val="28"/>
          <w:highlight w:val="white"/>
        </w:rPr>
        <w:t xml:space="preserve">- выполнение требований надзорных органов: капитальный ремонт эвакуационной (пожарной) лестницы в МБОУ - </w:t>
      </w:r>
      <w:r>
        <w:rPr>
          <w:rFonts w:eastAsia="Calibri"/>
          <w:sz w:val="28"/>
          <w:szCs w:val="28"/>
          <w:highlight w:val="white"/>
        </w:rPr>
        <w:t xml:space="preserve">Барышевской</w:t>
      </w:r>
      <w:r>
        <w:rPr>
          <w:rFonts w:eastAsia="Calibri"/>
          <w:sz w:val="28"/>
          <w:szCs w:val="28"/>
          <w:highlight w:val="white"/>
        </w:rPr>
        <w:t xml:space="preserve"> СШ № 9 - 1 800,00 </w:t>
      </w:r>
      <w:r>
        <w:rPr>
          <w:rFonts w:eastAsia="Calibri"/>
          <w:sz w:val="28"/>
          <w:szCs w:val="28"/>
          <w:highlight w:val="white"/>
        </w:rPr>
        <w:t xml:space="preserve">тыс.руб</w:t>
      </w:r>
      <w:r>
        <w:rPr>
          <w:rFonts w:eastAsia="Calibri"/>
          <w:sz w:val="28"/>
          <w:szCs w:val="28"/>
          <w:highlight w:val="white"/>
        </w:rPr>
        <w:t xml:space="preserve">.;</w:t>
      </w:r>
      <w:r>
        <w:rPr>
          <w:rFonts w:eastAsia="Calibri"/>
          <w:sz w:val="28"/>
          <w:szCs w:val="28"/>
          <w:highlight w:val="white"/>
        </w:rPr>
      </w:r>
      <w:r>
        <w:rPr>
          <w:rFonts w:eastAsia="Calibri"/>
          <w:sz w:val="28"/>
          <w:szCs w:val="28"/>
          <w:highlight w:val="white"/>
        </w:rPr>
      </w:r>
    </w:p>
    <w:p>
      <w:pPr>
        <w:contextualSpacing/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- ремонтные работы для ввода новых 60 мест дошкольного образования в здании МБОУ «Каменская СОШ № 44» на сумму 6 724,60 </w:t>
      </w:r>
      <w:r>
        <w:rPr>
          <w:sz w:val="28"/>
          <w:highlight w:val="white"/>
        </w:rPr>
        <w:t xml:space="preserve">тыс.руб</w:t>
      </w:r>
      <w:r>
        <w:rPr>
          <w:sz w:val="28"/>
          <w:highlight w:val="white"/>
        </w:rPr>
        <w:t xml:space="preserve">. 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contextualSpacing/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В 2023 году продолжена реализация муниципальной программы «Развитие воспитания в Новосибирском районе Новосибирской области», задачами которой являются совершенствование патр</w:t>
      </w:r>
      <w:r>
        <w:rPr>
          <w:sz w:val="28"/>
          <w:highlight w:val="white"/>
        </w:rPr>
        <w:t xml:space="preserve">иотического воспитания детей и молодежи, поддержка талантливых обучающихся, развитие дополнительного образования, подготовка кадрового резерва руководителей муниципальных образовательных организаций, развитие системы сетевого партнерства субъектов системы </w:t>
      </w:r>
      <w:r>
        <w:rPr>
          <w:sz w:val="28"/>
          <w:highlight w:val="white"/>
        </w:rPr>
        <w:t xml:space="preserve">воспитания. Из бюджета Новосибирского района на реализацию мероприятий в рамках данной программы выделено </w:t>
      </w:r>
      <w:r>
        <w:rPr>
          <w:sz w:val="28"/>
          <w:szCs w:val="28"/>
          <w:highlight w:val="white"/>
        </w:rPr>
        <w:t xml:space="preserve">41 890 </w:t>
      </w:r>
      <w:r>
        <w:rPr>
          <w:sz w:val="28"/>
          <w:highlight w:val="white"/>
        </w:rPr>
        <w:t xml:space="preserve">тыс.руб</w:t>
      </w:r>
      <w:r>
        <w:rPr>
          <w:sz w:val="28"/>
          <w:highlight w:val="white"/>
        </w:rPr>
        <w:t xml:space="preserve">. 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contextualSpacing/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В результате реализации муниципальной программы увел</w:t>
      </w:r>
      <w:r>
        <w:rPr>
          <w:sz w:val="28"/>
          <w:highlight w:val="white"/>
        </w:rPr>
        <w:t xml:space="preserve">ичен охват детей дополнительным образованием до 78%, во всех школах открыты школьные спортивные клубы, школьные театры и первичные отделения Российского движения детей и молодежи «Движение первых», число отрядов юных инспекторов движения увеличилось до 56.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8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Наибольшего эффекта реализация муниципальной программы «Развитие воспитания в Новосибирском районе Новосибирской области» позволила достичь в развитии Всероссийского детско-юношеского военно-патриотического общественного движения «</w:t>
      </w:r>
      <w:r>
        <w:rPr>
          <w:sz w:val="28"/>
          <w:highlight w:val="white"/>
        </w:rPr>
        <w:t xml:space="preserve">Юнармия</w:t>
      </w:r>
      <w:r>
        <w:rPr>
          <w:sz w:val="28"/>
          <w:highlight w:val="white"/>
        </w:rPr>
        <w:t xml:space="preserve">». </w:t>
      </w:r>
      <w:r>
        <w:rPr>
          <w:sz w:val="28"/>
          <w:szCs w:val="28"/>
          <w:highlight w:val="white"/>
        </w:rPr>
        <w:t xml:space="preserve">В отчетном периоде Новосибирский район стал первым в Новосибирской области по числу юнармейцев – 2 341 чел. (72 юнармейских отряда, из них 11 отрядов юнармейцев дошкольников). 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contextualSpacing/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Ключевыми событиями 2023 года, направленные на патриотическое воспитание, которые позволили повысить интерес обучающихся к юнармейскому движению, стали: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contextualSpacing/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- районный смотр-конкурс строя и песни муниципальных образовательных учреждений Новосибирского района «ZА ПОБЕДУ!»;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contextualSpacing/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- митинг и торжественное мероприятие в память о погибших военнослужащих 24-гвардейской отдельной бригады специального назначения, в поддержку семей военнослужащих и в честь празднования 78-</w:t>
      </w:r>
      <w:r>
        <w:rPr>
          <w:sz w:val="28"/>
          <w:highlight w:val="white"/>
        </w:rPr>
        <w:t xml:space="preserve">й  годовщины</w:t>
      </w:r>
      <w:r>
        <w:rPr>
          <w:sz w:val="28"/>
          <w:highlight w:val="white"/>
        </w:rPr>
        <w:t xml:space="preserve"> Победы в Великой Отечественной войне на территории Шиловского полигона;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contextualSpacing/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- участие юнармейцев Новосибирского района в Параде Победы 9 мая на площади Ленина г. Новосибирска;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contextualSpacing/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- принятие дошкольников в Юнармейское движение;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contextualSpacing/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- Всероссийские юнармейские военно-спортивные игры «Юный разведчик»;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contextualSpacing/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- Всероссийский конкурс «Лидер </w:t>
      </w:r>
      <w:r>
        <w:rPr>
          <w:sz w:val="28"/>
          <w:highlight w:val="white"/>
        </w:rPr>
        <w:t xml:space="preserve">юнармии</w:t>
      </w:r>
      <w:r>
        <w:rPr>
          <w:sz w:val="28"/>
          <w:highlight w:val="white"/>
        </w:rPr>
        <w:t xml:space="preserve">», по итогам конкурса два лучших юнармейца района были приглашены на Всероссийский форум совета юнармейских командиров Учебно-методического центра «Авангард» (Московская область);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contextualSpacing/>
        <w:ind w:firstLine="709"/>
        <w:jc w:val="both"/>
        <w:rPr>
          <w:color w:val="ff0000"/>
          <w:sz w:val="28"/>
          <w:highlight w:val="white"/>
        </w:rPr>
      </w:pPr>
      <w:r>
        <w:rPr>
          <w:sz w:val="28"/>
          <w:highlight w:val="white"/>
        </w:rPr>
        <w:t xml:space="preserve">- Всероссийский конкур «Юнармейские маршруты» (победители МБОУ- </w:t>
      </w:r>
      <w:r>
        <w:rPr>
          <w:sz w:val="28"/>
          <w:highlight w:val="white"/>
        </w:rPr>
        <w:t xml:space="preserve">Пашинская</w:t>
      </w:r>
      <w:r>
        <w:rPr>
          <w:sz w:val="28"/>
          <w:highlight w:val="white"/>
        </w:rPr>
        <w:t xml:space="preserve"> школа № 70).</w:t>
      </w:r>
      <w:r>
        <w:rPr>
          <w:color w:val="ff0000"/>
          <w:sz w:val="28"/>
          <w:highlight w:val="white"/>
        </w:rPr>
      </w:r>
      <w:r>
        <w:rPr>
          <w:color w:val="ff0000"/>
          <w:sz w:val="28"/>
          <w:highlight w:val="white"/>
        </w:rPr>
      </w:r>
    </w:p>
    <w:p>
      <w:pPr>
        <w:ind w:firstLine="709"/>
        <w:jc w:val="both"/>
        <w:rPr>
          <w:rFonts w:eastAsia="Calibri"/>
          <w:sz w:val="28"/>
          <w:szCs w:val="28"/>
          <w:highlight w:val="white"/>
        </w:rPr>
      </w:pPr>
      <w:r>
        <w:rPr>
          <w:rFonts w:eastAsia="Calibri"/>
          <w:sz w:val="28"/>
          <w:szCs w:val="28"/>
          <w:highlight w:val="white"/>
        </w:rPr>
        <w:t xml:space="preserve">В 2023 году на базе образовательных организаций работало 43 оздоровительных лагеря </w:t>
      </w:r>
      <w:r>
        <w:rPr>
          <w:rFonts w:eastAsia="Calibri"/>
          <w:bCs/>
          <w:sz w:val="28"/>
          <w:szCs w:val="28"/>
          <w:highlight w:val="white"/>
        </w:rPr>
        <w:t xml:space="preserve">дневного пребывания (38 школ и 5 учреждений дополнительного образования детей), в которых были заняты </w:t>
      </w:r>
      <w:r>
        <w:rPr>
          <w:rFonts w:eastAsia="Calibri"/>
          <w:sz w:val="28"/>
          <w:szCs w:val="28"/>
          <w:highlight w:val="white"/>
        </w:rPr>
        <w:t xml:space="preserve">3491 детей, что на 141 ребёнка больше по сравнению с 2022 годом. 2087 детей, находящихся в трудной жизненной ситуации, отдохнули полностью за счет средств областного и районного бюджетов, это на 337 детей больше, чем в 2022 году.</w:t>
      </w:r>
      <w:r>
        <w:rPr>
          <w:rFonts w:eastAsia="Calibri"/>
          <w:sz w:val="28"/>
          <w:szCs w:val="28"/>
          <w:highlight w:val="white"/>
        </w:rPr>
      </w:r>
      <w:r>
        <w:rPr>
          <w:rFonts w:eastAsia="Calibri"/>
          <w:sz w:val="28"/>
          <w:szCs w:val="28"/>
          <w:highlight w:val="white"/>
        </w:rPr>
      </w:r>
    </w:p>
    <w:p>
      <w:pPr>
        <w:contextualSpacing/>
        <w:ind w:firstLine="709"/>
        <w:jc w:val="both"/>
        <w:rPr>
          <w:sz w:val="28"/>
          <w:szCs w:val="28"/>
          <w:highlight w:val="white"/>
        </w:rPr>
      </w:pPr>
      <w:r>
        <w:rPr>
          <w:rFonts w:eastAsia="Calibri"/>
          <w:sz w:val="28"/>
          <w:szCs w:val="28"/>
          <w:highlight w:val="white"/>
        </w:rPr>
        <w:t xml:space="preserve">С целью большего охвата дет</w:t>
      </w:r>
      <w:r>
        <w:rPr>
          <w:rFonts w:eastAsia="Calibri"/>
          <w:sz w:val="28"/>
          <w:szCs w:val="28"/>
          <w:highlight w:val="white"/>
        </w:rPr>
        <w:t xml:space="preserve">ей летней занятостью и отдыхом, снижения количества правонарушений и преступлений среди несовершеннолетних в течение летнего периода в 40 муниципальных образовательных организациях реализовывались программы профильных смен по направлениям: патриотическое, </w:t>
      </w:r>
      <w:r>
        <w:rPr>
          <w:sz w:val="28"/>
          <w:szCs w:val="28"/>
          <w:highlight w:val="white"/>
        </w:rPr>
        <w:t xml:space="preserve">правовое, биологическое, спортивное, туристско-краеведческое, социальное. 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8"/>
        <w:jc w:val="both"/>
        <w:rPr>
          <w:rFonts w:eastAsia="Calibri"/>
          <w:sz w:val="28"/>
          <w:szCs w:val="28"/>
          <w:highlight w:val="white"/>
        </w:rPr>
      </w:pPr>
      <w:r>
        <w:rPr>
          <w:rFonts w:eastAsia="Calibri"/>
          <w:sz w:val="28"/>
          <w:szCs w:val="28"/>
          <w:highlight w:val="white"/>
        </w:rPr>
        <w:t xml:space="preserve"> Профильными сменами было охвачено 2345 детей. В 24 муниципальных образовательных организациях второй год проводятся профильные смены для </w:t>
      </w:r>
      <w:r>
        <w:rPr>
          <w:rFonts w:eastAsia="Calibri"/>
          <w:sz w:val="28"/>
          <w:szCs w:val="28"/>
          <w:highlight w:val="white"/>
        </w:rPr>
        <w:t xml:space="preserve">детей, состоящих на различных видах учёта (в 2023 году – 128 детей).</w:t>
      </w:r>
      <w:r>
        <w:rPr>
          <w:sz w:val="28"/>
          <w:szCs w:val="28"/>
          <w:highlight w:val="white"/>
        </w:rPr>
        <w:t xml:space="preserve"> Впервые проведены </w:t>
      </w:r>
      <w:r>
        <w:rPr>
          <w:sz w:val="28"/>
          <w:szCs w:val="28"/>
          <w:highlight w:val="white"/>
        </w:rPr>
        <w:t xml:space="preserve">профильные  смены</w:t>
      </w:r>
      <w:r>
        <w:rPr>
          <w:sz w:val="28"/>
          <w:szCs w:val="28"/>
          <w:highlight w:val="white"/>
        </w:rPr>
        <w:t xml:space="preserve"> для детей с ОВЗ и детей-инвалидов (14 смен с охватом 405 детей).</w:t>
      </w:r>
      <w:r>
        <w:rPr>
          <w:rFonts w:eastAsia="Calibri"/>
          <w:sz w:val="28"/>
          <w:szCs w:val="28"/>
          <w:highlight w:val="white"/>
        </w:rPr>
      </w:r>
      <w:r>
        <w:rPr>
          <w:rFonts w:eastAsia="Calibri"/>
          <w:sz w:val="28"/>
          <w:szCs w:val="28"/>
          <w:highlight w:val="white"/>
        </w:rPr>
      </w:r>
    </w:p>
    <w:p>
      <w:pPr>
        <w:ind w:firstLine="708"/>
        <w:jc w:val="both"/>
        <w:rPr>
          <w:rFonts w:eastAsia="Calibri"/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В июле 2023 года на территории МБОУ - СОШ № 11 Шиловского гарнизона Новосибирского района состоялось открытие палаточного лагеря «ЮНАРМЕЕЦ». При поддержке районной администрации в лагере прошли две профильные смены: «Юный разведчик» и «Лидер </w:t>
      </w:r>
      <w:r>
        <w:rPr>
          <w:sz w:val="28"/>
          <w:szCs w:val="28"/>
          <w:highlight w:val="white"/>
        </w:rPr>
        <w:t xml:space="preserve">Юнармии</w:t>
      </w:r>
      <w:r>
        <w:rPr>
          <w:sz w:val="28"/>
          <w:szCs w:val="28"/>
          <w:highlight w:val="white"/>
        </w:rPr>
        <w:t xml:space="preserve">» для</w:t>
      </w:r>
      <w:r>
        <w:rPr>
          <w:sz w:val="28"/>
          <w:szCs w:val="28"/>
          <w:highlight w:val="white"/>
        </w:rPr>
        <w:t xml:space="preserve"> 88 юнармейцев. Лагерь расположен в непосредственной близости к 24 гвардейской бригаде спецназа и танковой воинской части. Программы военно-патриотических профильных смен разрабатывались и реализовывались во взаимодействии с воинскими частями – партнёрами.</w:t>
      </w:r>
      <w:r>
        <w:rPr>
          <w:rFonts w:eastAsia="Calibri"/>
          <w:sz w:val="28"/>
          <w:szCs w:val="28"/>
          <w:highlight w:val="white"/>
        </w:rPr>
      </w:r>
      <w:r>
        <w:rPr>
          <w:rFonts w:eastAsia="Calibri"/>
          <w:sz w:val="28"/>
          <w:szCs w:val="28"/>
          <w:highlight w:val="white"/>
        </w:rPr>
      </w:r>
    </w:p>
    <w:p>
      <w:pPr>
        <w:ind w:firstLine="708"/>
        <w:jc w:val="both"/>
        <w:rPr>
          <w:rFonts w:eastAsia="Calibri"/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В 2024 году на базе палаточного лагеря «ЮНАРМЕЕЦ» запланировано проведение 4 профильных смен для 600 юнармейцев не только Новосибирского района, но и Новосибирской области.</w:t>
      </w:r>
      <w:r>
        <w:rPr>
          <w:rFonts w:eastAsia="Calibri"/>
          <w:sz w:val="28"/>
          <w:szCs w:val="28"/>
          <w:highlight w:val="white"/>
        </w:rPr>
      </w:r>
      <w:r>
        <w:rPr>
          <w:rFonts w:eastAsia="Calibri"/>
          <w:sz w:val="28"/>
          <w:szCs w:val="28"/>
          <w:highlight w:val="white"/>
        </w:rPr>
      </w:r>
    </w:p>
    <w:p>
      <w:pPr>
        <w:contextualSpacing/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243 ребёнка из семей участников СВО прошли оздоровление в ЛДП, ДОЛ, СОЛ, палаточном лагере.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rFonts w:eastAsia="Calibri"/>
          <w:sz w:val="28"/>
          <w:szCs w:val="28"/>
          <w:highlight w:val="white"/>
        </w:rPr>
        <w:t xml:space="preserve">В летний период 2023 года 650 </w:t>
      </w:r>
      <w:r>
        <w:rPr>
          <w:rFonts w:eastAsia="Calibri"/>
          <w:sz w:val="28"/>
          <w:szCs w:val="28"/>
          <w:highlight w:val="white"/>
        </w:rPr>
        <w:t xml:space="preserve">несовершеннолетних  из</w:t>
      </w:r>
      <w:r>
        <w:rPr>
          <w:rFonts w:eastAsia="Calibri"/>
          <w:sz w:val="28"/>
          <w:szCs w:val="28"/>
          <w:highlight w:val="white"/>
        </w:rPr>
        <w:t xml:space="preserve"> 36 образовательных учреждений были трудоустроены, что на  200 детей больше, чем в 2022 году. Финансирование из районного бюджета составило</w:t>
      </w:r>
      <w:r>
        <w:rPr>
          <w:sz w:val="28"/>
          <w:szCs w:val="28"/>
          <w:highlight w:val="white"/>
        </w:rPr>
        <w:t xml:space="preserve"> 2,5 млн </w:t>
      </w:r>
      <w:r>
        <w:rPr>
          <w:sz w:val="28"/>
          <w:szCs w:val="28"/>
          <w:highlight w:val="white"/>
        </w:rPr>
        <w:t xml:space="preserve">руб</w:t>
      </w:r>
      <w:r>
        <w:rPr>
          <w:sz w:val="28"/>
          <w:szCs w:val="28"/>
          <w:highlight w:val="white"/>
        </w:rPr>
        <w:t xml:space="preserve"> (в 2022 году – 1,8 млн руб.).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contextualSpacing/>
        <w:ind w:firstLine="708"/>
        <w:jc w:val="both"/>
        <w:rPr>
          <w:color w:val="ff0000"/>
          <w:sz w:val="28"/>
          <w:highlight w:val="white"/>
        </w:rPr>
      </w:pPr>
      <w:r>
        <w:rPr>
          <w:sz w:val="28"/>
          <w:highlight w:val="white"/>
        </w:rPr>
        <w:t xml:space="preserve">В 2023 году в 14 образовательных организациях </w:t>
      </w:r>
      <w:r>
        <w:rPr>
          <w:sz w:val="28"/>
          <w:highlight w:val="white"/>
        </w:rPr>
        <w:t xml:space="preserve">функционировали  специализированные</w:t>
      </w:r>
      <w:r>
        <w:rPr>
          <w:sz w:val="28"/>
          <w:highlight w:val="white"/>
        </w:rPr>
        <w:t xml:space="preserve"> классы различной направленности (</w:t>
      </w:r>
      <w:r>
        <w:rPr>
          <w:sz w:val="28"/>
          <w:highlight w:val="white"/>
        </w:rPr>
        <w:t xml:space="preserve">агро</w:t>
      </w:r>
      <w:r>
        <w:rPr>
          <w:sz w:val="28"/>
          <w:highlight w:val="white"/>
        </w:rPr>
        <w:t xml:space="preserve">- и биотехнологические, педагогические и психолого-педагогические, кадетские, естественнонаучные, медицинские, казачьи кадетские).</w:t>
      </w:r>
      <w:r>
        <w:rPr>
          <w:color w:val="ff0000"/>
          <w:sz w:val="28"/>
          <w:highlight w:val="white"/>
        </w:rPr>
      </w:r>
      <w:r>
        <w:rPr>
          <w:color w:val="ff0000"/>
          <w:sz w:val="28"/>
          <w:highlight w:val="white"/>
        </w:rPr>
      </w:r>
    </w:p>
    <w:p>
      <w:pPr>
        <w:contextualSpacing/>
        <w:ind w:firstLine="708"/>
        <w:jc w:val="both"/>
        <w:shd w:val="clear" w:color="auto" w:fill="ffffff" w:themeFill="background1"/>
        <w:rPr>
          <w:sz w:val="28"/>
          <w:highlight w:val="white"/>
        </w:rPr>
      </w:pPr>
      <w:r>
        <w:rPr>
          <w:sz w:val="28"/>
          <w:highlight w:val="white"/>
        </w:rPr>
        <w:t xml:space="preserve">Ежегодно Министерство образования Новосибирской области проводит конкурсный отбор для финансовой поддержки специализированных классов, который в 2023 году успешно прошли 6 общеобразовательных учреждений Новосибирского района: </w:t>
      </w:r>
      <w:r>
        <w:rPr>
          <w:sz w:val="28"/>
          <w:szCs w:val="24"/>
          <w:highlight w:val="white"/>
        </w:rPr>
        <w:t xml:space="preserve">МБОУ </w:t>
      </w:r>
      <w:r>
        <w:rPr>
          <w:sz w:val="28"/>
          <w:szCs w:val="24"/>
          <w:highlight w:val="white"/>
        </w:rPr>
        <w:t xml:space="preserve">Краснообская</w:t>
      </w:r>
      <w:r>
        <w:rPr>
          <w:sz w:val="28"/>
          <w:szCs w:val="24"/>
          <w:highlight w:val="white"/>
        </w:rPr>
        <w:t xml:space="preserve"> СОШ № 1, МБОУ «</w:t>
      </w:r>
      <w:r>
        <w:rPr>
          <w:sz w:val="28"/>
          <w:szCs w:val="24"/>
          <w:highlight w:val="white"/>
        </w:rPr>
        <w:t xml:space="preserve">Краснообская</w:t>
      </w:r>
      <w:r>
        <w:rPr>
          <w:sz w:val="28"/>
          <w:szCs w:val="24"/>
          <w:highlight w:val="white"/>
        </w:rPr>
        <w:t xml:space="preserve"> школа № 2», МАОУ - лицей № 13 п. </w:t>
      </w:r>
      <w:r>
        <w:rPr>
          <w:sz w:val="28"/>
          <w:szCs w:val="24"/>
          <w:highlight w:val="white"/>
        </w:rPr>
        <w:t xml:space="preserve">Краснообск</w:t>
      </w:r>
      <w:r>
        <w:rPr>
          <w:sz w:val="28"/>
          <w:szCs w:val="24"/>
          <w:highlight w:val="white"/>
        </w:rPr>
        <w:t xml:space="preserve">, МАОУ Центр образования «Верх-</w:t>
      </w:r>
      <w:r>
        <w:rPr>
          <w:sz w:val="28"/>
          <w:szCs w:val="24"/>
          <w:highlight w:val="white"/>
        </w:rPr>
        <w:t xml:space="preserve">Тулинский</w:t>
      </w:r>
      <w:r>
        <w:rPr>
          <w:sz w:val="28"/>
          <w:szCs w:val="24"/>
          <w:highlight w:val="white"/>
        </w:rPr>
        <w:t xml:space="preserve">», МБОУ - </w:t>
      </w:r>
      <w:r>
        <w:rPr>
          <w:sz w:val="28"/>
          <w:szCs w:val="24"/>
          <w:highlight w:val="white"/>
        </w:rPr>
        <w:t xml:space="preserve">Ярковская</w:t>
      </w:r>
      <w:r>
        <w:rPr>
          <w:sz w:val="28"/>
          <w:szCs w:val="24"/>
          <w:highlight w:val="white"/>
        </w:rPr>
        <w:t xml:space="preserve"> СОШ № 3.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contextualSpacing/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В 2023 году две районные школы (МАОУ - лицей № 13 п. </w:t>
      </w:r>
      <w:r>
        <w:rPr>
          <w:sz w:val="28"/>
          <w:highlight w:val="white"/>
        </w:rPr>
        <w:t xml:space="preserve">Краснообск</w:t>
      </w:r>
      <w:r>
        <w:rPr>
          <w:sz w:val="28"/>
          <w:highlight w:val="white"/>
        </w:rPr>
        <w:t xml:space="preserve"> и МБОУ </w:t>
      </w:r>
      <w:r>
        <w:rPr>
          <w:sz w:val="28"/>
          <w:highlight w:val="white"/>
        </w:rPr>
        <w:t xml:space="preserve">Новолуговская</w:t>
      </w:r>
      <w:r>
        <w:rPr>
          <w:sz w:val="28"/>
          <w:highlight w:val="white"/>
        </w:rPr>
        <w:t xml:space="preserve"> школа № 57) по итогам конкурсного отбора 2022 года </w:t>
      </w:r>
      <w:r>
        <w:rPr>
          <w:sz w:val="28"/>
          <w:highlight w:val="white"/>
        </w:rPr>
        <w:t xml:space="preserve">получили статус Региональных ресурсных центров развития образования и дополнительное областное финансирование на методическое сопровождение общеобразовательных результатов района и региона. В 2023 году эта работа образовательными организациями продолжена. 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contextualSpacing/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МАОУ «Гимназия «</w:t>
      </w:r>
      <w:r>
        <w:rPr>
          <w:sz w:val="28"/>
          <w:highlight w:val="white"/>
        </w:rPr>
        <w:t xml:space="preserve">Краснообская</w:t>
      </w:r>
      <w:r>
        <w:rPr>
          <w:sz w:val="28"/>
          <w:highlight w:val="white"/>
        </w:rPr>
        <w:t xml:space="preserve">» определена одной из ресурсных организаций реализации регионального проекта «Школа – центр физической культуры и здорового образа жизни».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contextualSpacing/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МБОУ «</w:t>
      </w:r>
      <w:r>
        <w:rPr>
          <w:sz w:val="28"/>
          <w:highlight w:val="white"/>
        </w:rPr>
        <w:t xml:space="preserve">Краснообская</w:t>
      </w:r>
      <w:r>
        <w:rPr>
          <w:sz w:val="28"/>
          <w:highlight w:val="white"/>
        </w:rPr>
        <w:t xml:space="preserve"> школа № 2» признана региональной </w:t>
      </w:r>
      <w:r>
        <w:rPr>
          <w:sz w:val="28"/>
          <w:highlight w:val="white"/>
        </w:rPr>
        <w:t xml:space="preserve">стажировочной</w:t>
      </w:r>
      <w:r>
        <w:rPr>
          <w:sz w:val="28"/>
          <w:highlight w:val="white"/>
        </w:rPr>
        <w:t xml:space="preserve"> площадкой по реализации практики инклюзивного образования на территории Новосибирской области на период с 2023 по 2025 годы.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contextualSpacing/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МАОУ Центр образования «Верх-</w:t>
      </w:r>
      <w:r>
        <w:rPr>
          <w:sz w:val="28"/>
          <w:highlight w:val="white"/>
        </w:rPr>
        <w:t xml:space="preserve">Тулинский</w:t>
      </w:r>
      <w:r>
        <w:rPr>
          <w:sz w:val="28"/>
          <w:highlight w:val="white"/>
        </w:rPr>
        <w:t xml:space="preserve">», МБОУ «Ленинская школа № 47» утверждены ресурсными организациями Новосибирской области, реализующие практику инклюзивного образования, на период с 2023 по 2025 годы.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8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Пять муниципальных дошкольных образовательных учреждений являются федеральными инновационными площадками: 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8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МАДОУ - детский сад «Колосок» по теме «</w:t>
      </w:r>
      <w:r>
        <w:rPr>
          <w:sz w:val="28"/>
          <w:szCs w:val="28"/>
          <w:highlight w:val="white"/>
        </w:rPr>
        <w:t xml:space="preserve">Нейротехнологии</w:t>
      </w:r>
      <w:r>
        <w:rPr>
          <w:sz w:val="28"/>
          <w:szCs w:val="28"/>
          <w:highlight w:val="white"/>
        </w:rPr>
        <w:t xml:space="preserve"> и искусственный интеллект в дошкольном и начальном общем образовании в контексте </w:t>
      </w:r>
      <w:r>
        <w:rPr>
          <w:sz w:val="28"/>
          <w:szCs w:val="28"/>
          <w:highlight w:val="white"/>
          <w:lang w:val="en-US"/>
        </w:rPr>
        <w:t xml:space="preserve">STEM</w:t>
      </w:r>
      <w:r>
        <w:rPr>
          <w:sz w:val="28"/>
          <w:szCs w:val="28"/>
          <w:highlight w:val="white"/>
        </w:rPr>
        <w:t xml:space="preserve">»;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8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МКДОУ – детский сад «Медвежонок» по направлению «Воспитание дошкольников» ФГБКУ «Институт изучения детства, семьи и воспитания»;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8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МКДОУ – детский сад «Елочка» по теме «Раскрытие воспитательного потенциала </w:t>
      </w:r>
      <w:r>
        <w:rPr>
          <w:sz w:val="28"/>
          <w:szCs w:val="28"/>
          <w:highlight w:val="white"/>
          <w:lang w:val="en-US"/>
        </w:rPr>
        <w:t xml:space="preserve">STEM</w:t>
      </w:r>
      <w:r>
        <w:rPr>
          <w:sz w:val="28"/>
          <w:szCs w:val="28"/>
          <w:highlight w:val="white"/>
        </w:rPr>
        <w:t xml:space="preserve">-образования»;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8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МКДОУ детский сад «Дельфин» по теме «Модели реализации </w:t>
      </w:r>
      <w:r>
        <w:rPr>
          <w:sz w:val="28"/>
          <w:szCs w:val="28"/>
          <w:highlight w:val="white"/>
          <w:lang w:val="en-US"/>
        </w:rPr>
        <w:t xml:space="preserve">STEM</w:t>
      </w:r>
      <w:r>
        <w:rPr>
          <w:sz w:val="28"/>
          <w:szCs w:val="28"/>
          <w:highlight w:val="white"/>
        </w:rPr>
        <w:t xml:space="preserve">-образования в практике работы дошкольных образовательных организаций и начальной школы»;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8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МКДОУ детский сад «Теремок» по теме «Развитие личности обучающегося в процессе речевого воспитания».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8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Два муниципальных дошкольных</w:t>
      </w:r>
      <w:r>
        <w:rPr>
          <w:sz w:val="28"/>
          <w:szCs w:val="28"/>
          <w:highlight w:val="white"/>
        </w:rPr>
        <w:t xml:space="preserve"> образовательных учреждения -  региональные инновационные площадки: МКДОУ - детский сад «Чебурашка» по направлению «Краеведческое образование детей дошкольного возраста»; МКДОУ – детский сад «Елочка» по направлению «Дошкольная педагогика. ТРИЗ-технология».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contextualSpacing/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Образовательные учреждения Новосибирского района приняли участие </w:t>
      </w:r>
      <w:r>
        <w:rPr>
          <w:sz w:val="28"/>
          <w:highlight w:val="white"/>
        </w:rPr>
        <w:t xml:space="preserve">в  форуме</w:t>
      </w:r>
      <w:r>
        <w:rPr>
          <w:sz w:val="28"/>
          <w:highlight w:val="white"/>
        </w:rPr>
        <w:t xml:space="preserve">-выставке «УЧСИБ – 2023», итогами участия стали: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contextualSpacing/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- десять муниципальных образовательных организаций за представленные инновационные педагогические и </w:t>
      </w:r>
      <w:r>
        <w:rPr>
          <w:sz w:val="28"/>
          <w:szCs w:val="28"/>
          <w:highlight w:val="white"/>
        </w:rPr>
        <w:t xml:space="preserve">управленческие практики на </w:t>
      </w:r>
      <w:r>
        <w:rPr>
          <w:sz w:val="28"/>
          <w:highlight w:val="white"/>
        </w:rPr>
        <w:t xml:space="preserve">конкурс «Золотая медаль УЧСИБ – 2023» награждены золотыми и серебряными медалями (МАОУ – «Гимназия «</w:t>
      </w:r>
      <w:r>
        <w:rPr>
          <w:sz w:val="28"/>
          <w:highlight w:val="white"/>
        </w:rPr>
        <w:t xml:space="preserve">Краснообская</w:t>
      </w:r>
      <w:r>
        <w:rPr>
          <w:sz w:val="28"/>
          <w:highlight w:val="white"/>
        </w:rPr>
        <w:t xml:space="preserve">», МБОУ «</w:t>
      </w:r>
      <w:r>
        <w:rPr>
          <w:sz w:val="28"/>
          <w:highlight w:val="white"/>
        </w:rPr>
        <w:t xml:space="preserve">Издревинская</w:t>
      </w:r>
      <w:r>
        <w:rPr>
          <w:sz w:val="28"/>
          <w:highlight w:val="white"/>
        </w:rPr>
        <w:t xml:space="preserve"> СШ № 58», МБОУ «</w:t>
      </w:r>
      <w:r>
        <w:rPr>
          <w:sz w:val="28"/>
          <w:highlight w:val="white"/>
        </w:rPr>
        <w:t xml:space="preserve">Гусинобродская</w:t>
      </w:r>
      <w:r>
        <w:rPr>
          <w:sz w:val="28"/>
          <w:highlight w:val="white"/>
        </w:rPr>
        <w:t xml:space="preserve"> ОШ № 18», МАОУ Центр образования «Верх-</w:t>
      </w:r>
      <w:r>
        <w:rPr>
          <w:sz w:val="28"/>
          <w:highlight w:val="white"/>
        </w:rPr>
        <w:t xml:space="preserve">Тулинский</w:t>
      </w:r>
      <w:r>
        <w:rPr>
          <w:sz w:val="28"/>
          <w:highlight w:val="white"/>
        </w:rPr>
        <w:t xml:space="preserve">», МАОУ – лицей № 13 п. </w:t>
      </w:r>
      <w:r>
        <w:rPr>
          <w:sz w:val="28"/>
          <w:highlight w:val="white"/>
        </w:rPr>
        <w:t xml:space="preserve">Краснообск</w:t>
      </w:r>
      <w:r>
        <w:rPr>
          <w:sz w:val="28"/>
          <w:highlight w:val="white"/>
        </w:rPr>
        <w:t xml:space="preserve">, МБДОУ – детский сад «Земляничка», МБДОУ – детский сад «Золотая рыбка», МБДОУ – детский сад «Белочка», МБДОУ – детский сад «Родничок», МБДОУ – детский сад «Дельфин»);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contextualSpacing/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highlight w:val="white"/>
        </w:rPr>
        <w:t xml:space="preserve">- МАОУ – лицей № 13 п. </w:t>
      </w:r>
      <w:r>
        <w:rPr>
          <w:sz w:val="28"/>
          <w:highlight w:val="white"/>
        </w:rPr>
        <w:t xml:space="preserve">Краснообск</w:t>
      </w:r>
      <w:r>
        <w:rPr>
          <w:sz w:val="28"/>
          <w:highlight w:val="white"/>
        </w:rPr>
        <w:t xml:space="preserve"> – также победитель регионального конкурса «Методическое лидерство </w:t>
      </w:r>
      <w:r>
        <w:rPr>
          <w:sz w:val="28"/>
          <w:highlight w:val="white"/>
        </w:rPr>
        <w:t xml:space="preserve">Новосибири</w:t>
      </w:r>
      <w:r>
        <w:rPr>
          <w:sz w:val="28"/>
          <w:highlight w:val="white"/>
        </w:rPr>
        <w:t xml:space="preserve"> 2023», награжден денежным сертификатом на 250 тыс. руб.   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contextualSpacing/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В 2023 году обучающиеся достигли значимых образовательных результатов по итогам ЕГЭ: 6 выпускников получили по отдельным учебным предметам 100 баллов, 38 – медали «За особые успехи в учении» (в 2022 году – 35 медалей). 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Самыми значимыми достижениями обучающихся района на Всероссийском уровне стали: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- </w:t>
      </w:r>
      <w:r>
        <w:rPr>
          <w:sz w:val="28"/>
          <w:szCs w:val="28"/>
          <w:highlight w:val="white"/>
        </w:rPr>
        <w:t xml:space="preserve">Школьникова</w:t>
      </w:r>
      <w:r>
        <w:rPr>
          <w:sz w:val="28"/>
          <w:szCs w:val="28"/>
          <w:highlight w:val="white"/>
        </w:rPr>
        <w:t xml:space="preserve"> Софья, ученица </w:t>
      </w:r>
      <w:r>
        <w:rPr>
          <w:sz w:val="28"/>
          <w:szCs w:val="28"/>
          <w:highlight w:val="white"/>
        </w:rPr>
        <w:t xml:space="preserve">Краснообской</w:t>
      </w:r>
      <w:r>
        <w:rPr>
          <w:sz w:val="28"/>
          <w:szCs w:val="28"/>
          <w:highlight w:val="white"/>
        </w:rPr>
        <w:t xml:space="preserve"> СОШ № 1, призер заключительного этапа </w:t>
      </w:r>
      <w:r>
        <w:rPr>
          <w:sz w:val="28"/>
          <w:szCs w:val="28"/>
          <w:highlight w:val="white"/>
        </w:rPr>
        <w:t xml:space="preserve">ВсОш</w:t>
      </w:r>
      <w:r>
        <w:rPr>
          <w:sz w:val="28"/>
          <w:szCs w:val="28"/>
          <w:highlight w:val="white"/>
        </w:rPr>
        <w:t xml:space="preserve"> по физической культуре;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- победа и призовые места учениц </w:t>
      </w:r>
      <w:r>
        <w:rPr>
          <w:sz w:val="28"/>
          <w:szCs w:val="28"/>
          <w:highlight w:val="white"/>
        </w:rPr>
        <w:t xml:space="preserve">Краснообской</w:t>
      </w:r>
      <w:r>
        <w:rPr>
          <w:sz w:val="28"/>
          <w:szCs w:val="28"/>
          <w:highlight w:val="white"/>
        </w:rPr>
        <w:t xml:space="preserve"> СОШ № 1 в рамках Национальной технологической олимпиады (НТО) по профилю «Научная </w:t>
      </w:r>
      <w:r>
        <w:rPr>
          <w:sz w:val="28"/>
          <w:szCs w:val="28"/>
          <w:highlight w:val="white"/>
        </w:rPr>
        <w:t xml:space="preserve">медиажурналистика</w:t>
      </w:r>
      <w:r>
        <w:rPr>
          <w:sz w:val="28"/>
          <w:szCs w:val="28"/>
          <w:highlight w:val="white"/>
        </w:rPr>
        <w:t xml:space="preserve">»;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- победа учащихся Центра образования «Верх-</w:t>
      </w:r>
      <w:r>
        <w:rPr>
          <w:sz w:val="28"/>
          <w:szCs w:val="28"/>
          <w:highlight w:val="white"/>
        </w:rPr>
        <w:t xml:space="preserve">Тулинский</w:t>
      </w:r>
      <w:r>
        <w:rPr>
          <w:sz w:val="28"/>
          <w:szCs w:val="28"/>
          <w:highlight w:val="white"/>
        </w:rPr>
        <w:t xml:space="preserve">» и МБОУ – СШ № 18 ст. </w:t>
      </w:r>
      <w:r>
        <w:rPr>
          <w:sz w:val="28"/>
          <w:szCs w:val="28"/>
          <w:highlight w:val="white"/>
        </w:rPr>
        <w:t xml:space="preserve">Мочище</w:t>
      </w:r>
      <w:r>
        <w:rPr>
          <w:sz w:val="28"/>
          <w:szCs w:val="28"/>
          <w:highlight w:val="white"/>
        </w:rPr>
        <w:t xml:space="preserve"> в номинации «</w:t>
      </w:r>
      <w:r>
        <w:rPr>
          <w:sz w:val="28"/>
          <w:szCs w:val="28"/>
          <w:highlight w:val="white"/>
        </w:rPr>
        <w:t xml:space="preserve">АгроРоботы</w:t>
      </w:r>
      <w:r>
        <w:rPr>
          <w:sz w:val="28"/>
          <w:szCs w:val="28"/>
          <w:highlight w:val="white"/>
        </w:rPr>
        <w:t xml:space="preserve">» Всероссийского конкурса для школьников сельских поселений и малых городов «</w:t>
      </w:r>
      <w:r>
        <w:rPr>
          <w:sz w:val="28"/>
          <w:szCs w:val="28"/>
          <w:highlight w:val="white"/>
        </w:rPr>
        <w:t xml:space="preserve">АгроНТРИ</w:t>
      </w:r>
      <w:r>
        <w:rPr>
          <w:sz w:val="28"/>
          <w:szCs w:val="28"/>
          <w:highlight w:val="white"/>
        </w:rPr>
        <w:t xml:space="preserve">»;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- участие Киселева Александра, ученика Станции юннатов и </w:t>
      </w:r>
      <w:r>
        <w:rPr>
          <w:sz w:val="28"/>
          <w:szCs w:val="28"/>
          <w:highlight w:val="white"/>
        </w:rPr>
        <w:t xml:space="preserve">Краснообской</w:t>
      </w:r>
      <w:r>
        <w:rPr>
          <w:sz w:val="28"/>
          <w:szCs w:val="28"/>
          <w:highlight w:val="white"/>
        </w:rPr>
        <w:t xml:space="preserve"> СОШ № 1 во Всероссийском форуме натуралистов «Экосистема» на Камчатке в качестве единственного представителя от Новосибирской области;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- участие ученицы </w:t>
      </w:r>
      <w:r>
        <w:rPr>
          <w:sz w:val="28"/>
          <w:szCs w:val="28"/>
          <w:highlight w:val="white"/>
        </w:rPr>
        <w:t xml:space="preserve">Краснообской</w:t>
      </w:r>
      <w:r>
        <w:rPr>
          <w:sz w:val="28"/>
          <w:szCs w:val="28"/>
          <w:highlight w:val="white"/>
        </w:rPr>
        <w:t xml:space="preserve"> СОШ № 1 Тороповой Дарьи во всероссийском финале Чемпионата по проф. мастерству «Профессионалы» в составе сборной Новосибирской области.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Значимы участие и вклад образовательных организаций в мероприятия, определяющие рейтинг муниципалитета.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На муниципальном этапе Всероссийской Олимпиады школьников в 2022/2023 учебном году приняли участие 3109 учащихся, что составляет 44% от общей</w:t>
      </w:r>
      <w:r>
        <w:rPr>
          <w:sz w:val="28"/>
          <w:highlight w:val="white"/>
        </w:rPr>
        <w:t xml:space="preserve"> численности обучающихся 7-11 классов (в 2021/2022 учебном году – 1608 чел., 15,5% от общего численности). На региональный этап в 2023 году вышли 156 учеников из 20 школ, что на 68 чел. больше, чем в 2022 году. Победителями и призерами регионального этапа </w:t>
      </w:r>
      <w:r>
        <w:rPr>
          <w:sz w:val="28"/>
          <w:highlight w:val="white"/>
        </w:rPr>
        <w:t xml:space="preserve">ВсОШ</w:t>
      </w:r>
      <w:r>
        <w:rPr>
          <w:sz w:val="28"/>
          <w:highlight w:val="white"/>
        </w:rPr>
        <w:t xml:space="preserve"> стали 26 учеников из 6 школ района: МАОУ- лицей № 13 п. </w:t>
      </w:r>
      <w:r>
        <w:rPr>
          <w:sz w:val="28"/>
          <w:highlight w:val="white"/>
        </w:rPr>
        <w:t xml:space="preserve">Краснообск</w:t>
      </w:r>
      <w:r>
        <w:rPr>
          <w:sz w:val="28"/>
          <w:highlight w:val="white"/>
        </w:rPr>
        <w:t xml:space="preserve">, МАОУ Центр образования «Верх-</w:t>
      </w:r>
      <w:r>
        <w:rPr>
          <w:sz w:val="28"/>
          <w:highlight w:val="white"/>
        </w:rPr>
        <w:t xml:space="preserve">Тулинский</w:t>
      </w:r>
      <w:r>
        <w:rPr>
          <w:sz w:val="28"/>
          <w:highlight w:val="white"/>
        </w:rPr>
        <w:t xml:space="preserve">», МБОУ </w:t>
      </w:r>
      <w:r>
        <w:rPr>
          <w:sz w:val="28"/>
          <w:highlight w:val="white"/>
        </w:rPr>
        <w:t xml:space="preserve">Краснообская</w:t>
      </w:r>
      <w:r>
        <w:rPr>
          <w:sz w:val="28"/>
          <w:highlight w:val="white"/>
        </w:rPr>
        <w:t xml:space="preserve"> СОШ № 1, МБОУ </w:t>
      </w:r>
      <w:r>
        <w:rPr>
          <w:sz w:val="28"/>
          <w:highlight w:val="white"/>
        </w:rPr>
        <w:t xml:space="preserve">Краснообская</w:t>
      </w:r>
      <w:r>
        <w:rPr>
          <w:sz w:val="28"/>
          <w:highlight w:val="white"/>
        </w:rPr>
        <w:t xml:space="preserve"> СОШ № 2, МБОУ – </w:t>
      </w:r>
      <w:r>
        <w:rPr>
          <w:sz w:val="28"/>
          <w:highlight w:val="white"/>
        </w:rPr>
        <w:t xml:space="preserve">Барышевская</w:t>
      </w:r>
      <w:r>
        <w:rPr>
          <w:sz w:val="28"/>
          <w:highlight w:val="white"/>
        </w:rPr>
        <w:t xml:space="preserve"> СШ № 9, МБОУ «</w:t>
      </w:r>
      <w:r>
        <w:rPr>
          <w:sz w:val="28"/>
          <w:highlight w:val="white"/>
        </w:rPr>
        <w:t xml:space="preserve">Краснояровская</w:t>
      </w:r>
      <w:r>
        <w:rPr>
          <w:sz w:val="28"/>
          <w:highlight w:val="white"/>
        </w:rPr>
        <w:t xml:space="preserve"> СОШ № 30» (в 2022 году – 16 учеников из 5 школ).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В рамках мероприятий Всероссийского конкурса научно-технологических проектов «Большие вызовы» в финал регионального трека вышло 12 учеников из 6 образовательных организаций. Победителями и призерами стали 3 учащихся из Гимназии «</w:t>
      </w:r>
      <w:r>
        <w:rPr>
          <w:sz w:val="28"/>
          <w:highlight w:val="white"/>
        </w:rPr>
        <w:t xml:space="preserve">Краснообская</w:t>
      </w:r>
      <w:r>
        <w:rPr>
          <w:sz w:val="28"/>
          <w:highlight w:val="white"/>
        </w:rPr>
        <w:t xml:space="preserve">», </w:t>
      </w:r>
      <w:r>
        <w:rPr>
          <w:sz w:val="28"/>
          <w:highlight w:val="white"/>
        </w:rPr>
        <w:t xml:space="preserve">Краснообской</w:t>
      </w:r>
      <w:r>
        <w:rPr>
          <w:sz w:val="28"/>
          <w:highlight w:val="white"/>
        </w:rPr>
        <w:t xml:space="preserve"> СОШ № 1 и Станции юных натуралистов.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contextualSpacing/>
        <w:ind w:firstLine="709"/>
        <w:jc w:val="both"/>
        <w:rPr>
          <w:bCs/>
          <w:sz w:val="28"/>
          <w:highlight w:val="white"/>
        </w:rPr>
      </w:pPr>
      <w:r>
        <w:rPr>
          <w:bCs/>
          <w:sz w:val="28"/>
          <w:szCs w:val="28"/>
          <w:highlight w:val="white"/>
        </w:rPr>
        <w:t xml:space="preserve">В 2023 году продолжилась работа по участию школьников в сдаче нормативов комплекса ВФСК ГТО. В 2023 году приняли участие 13 856 обучающихся (62,3% от общего количества школьников с 1 по 11 классы).</w:t>
      </w:r>
      <w:r>
        <w:rPr>
          <w:bCs/>
          <w:sz w:val="28"/>
          <w:highlight w:val="white"/>
        </w:rPr>
        <w:t xml:space="preserve"> Нагрудными знаками ВФСК ГТО награждены 2 746 чел.: «золотой» – 1664 обучающихся, «</w:t>
      </w:r>
      <w:r>
        <w:rPr>
          <w:bCs/>
          <w:sz w:val="28"/>
          <w:highlight w:val="white"/>
        </w:rPr>
        <w:t xml:space="preserve">серебряный»  –</w:t>
      </w:r>
      <w:r>
        <w:rPr>
          <w:bCs/>
          <w:sz w:val="28"/>
          <w:highlight w:val="white"/>
        </w:rPr>
        <w:t xml:space="preserve"> 606, «бронзовый»  – 476. </w:t>
      </w:r>
      <w:r>
        <w:rPr>
          <w:bCs/>
          <w:sz w:val="28"/>
          <w:highlight w:val="white"/>
        </w:rPr>
      </w:r>
      <w:r>
        <w:rPr>
          <w:bCs/>
          <w:sz w:val="28"/>
          <w:highlight w:val="white"/>
        </w:rPr>
      </w:r>
    </w:p>
    <w:p>
      <w:pPr>
        <w:contextualSpacing/>
        <w:ind w:firstLine="709"/>
        <w:jc w:val="both"/>
        <w:shd w:val="clear" w:color="auto" w:fill="ffffff" w:themeFill="background1"/>
        <w:rPr>
          <w:sz w:val="28"/>
          <w:highlight w:val="white"/>
        </w:rPr>
      </w:pPr>
      <w:r>
        <w:rPr>
          <w:sz w:val="28"/>
          <w:highlight w:val="white"/>
        </w:rPr>
        <w:t xml:space="preserve">Сборная команды Новосибирской области, в состав которой вошли обучающиеся Новосибирского района: Еремин Андрей (МАОУ «Гимназия «</w:t>
      </w:r>
      <w:r>
        <w:rPr>
          <w:sz w:val="28"/>
          <w:highlight w:val="white"/>
        </w:rPr>
        <w:t xml:space="preserve">Краснообская</w:t>
      </w:r>
      <w:r>
        <w:rPr>
          <w:sz w:val="28"/>
          <w:highlight w:val="white"/>
        </w:rPr>
        <w:t xml:space="preserve">»), </w:t>
      </w:r>
      <w:r>
        <w:rPr>
          <w:sz w:val="28"/>
          <w:highlight w:val="white"/>
        </w:rPr>
        <w:t xml:space="preserve">Перцева</w:t>
      </w:r>
      <w:r>
        <w:rPr>
          <w:sz w:val="28"/>
          <w:highlight w:val="white"/>
        </w:rPr>
        <w:t xml:space="preserve"> Дарья (МАОУ- лицей № 13 п. </w:t>
      </w:r>
      <w:r>
        <w:rPr>
          <w:sz w:val="28"/>
          <w:highlight w:val="white"/>
        </w:rPr>
        <w:t xml:space="preserve">Краснообск</w:t>
      </w:r>
      <w:r>
        <w:rPr>
          <w:sz w:val="28"/>
          <w:highlight w:val="white"/>
        </w:rPr>
        <w:t xml:space="preserve">), Перцев Дмитрий (МАОУ- лицей № 13 п. </w:t>
      </w:r>
      <w:r>
        <w:rPr>
          <w:sz w:val="28"/>
          <w:highlight w:val="white"/>
        </w:rPr>
        <w:t xml:space="preserve">Краснообск</w:t>
      </w:r>
      <w:r>
        <w:rPr>
          <w:sz w:val="28"/>
          <w:highlight w:val="white"/>
        </w:rPr>
        <w:t xml:space="preserve">) и </w:t>
      </w:r>
      <w:r>
        <w:rPr>
          <w:sz w:val="28"/>
          <w:highlight w:val="white"/>
        </w:rPr>
        <w:t xml:space="preserve">Чурсина</w:t>
      </w:r>
      <w:r>
        <w:rPr>
          <w:sz w:val="28"/>
          <w:highlight w:val="white"/>
        </w:rPr>
        <w:t xml:space="preserve"> Анастасия (МАОУ «Гимназия «</w:t>
      </w:r>
      <w:r>
        <w:rPr>
          <w:sz w:val="28"/>
          <w:highlight w:val="white"/>
        </w:rPr>
        <w:t xml:space="preserve">Краснообская</w:t>
      </w:r>
      <w:r>
        <w:rPr>
          <w:sz w:val="28"/>
          <w:highlight w:val="white"/>
        </w:rPr>
        <w:t xml:space="preserve">») - победители VIII фестиваля Всероссийского физкультурно-спортивного комплекса «Готов к труду и обороне» среди обучающихся общеобразовательных организаций со школьниками. 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contextualSpacing/>
        <w:ind w:firstLine="709"/>
        <w:jc w:val="both"/>
        <w:shd w:val="clear" w:color="auto" w:fill="ffffff" w:themeFill="background1"/>
        <w:rPr>
          <w:sz w:val="28"/>
          <w:highlight w:val="white"/>
        </w:rPr>
      </w:pPr>
      <w:r>
        <w:rPr>
          <w:sz w:val="28"/>
          <w:highlight w:val="white"/>
        </w:rPr>
        <w:t xml:space="preserve">В рамках муниципальной программы «Развитие воспитания в Новосибирском районе Новосибирской области» администрацией Новосибирского района о</w:t>
      </w:r>
      <w:r>
        <w:rPr>
          <w:sz w:val="28"/>
          <w:highlight w:val="white"/>
        </w:rPr>
        <w:t xml:space="preserve">бучающимися, достигшим высоких результатов в образовании, спорте, общественной и (или) добровольческой деятельности, выпускникам муниципальных общеобразовательных организаций, завершивших обучение с медалями «За особые успехи в учении» и (или) набравшим 10</w:t>
      </w:r>
      <w:r>
        <w:rPr>
          <w:sz w:val="28"/>
          <w:highlight w:val="white"/>
        </w:rPr>
        <w:t xml:space="preserve">0 – баллов по итогам ЕГЭ, призерам и победителям заключительного этапа Всероссийской олимпиады школьников, выплачивается премия в размере 5 тыс. руб. В 2023 году из средств бюджета района на премии указанным категориям обучающихся выделено 708, 9 тыс. руб.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contextualSpacing/>
        <w:ind w:firstLine="708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В 2023 году активно развивался кадровый потенциал системы образования Новосибирского района.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contextualSpacing/>
        <w:ind w:firstLine="708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Продолжено обучение по программе повышения квалификации в рамках районного проекта «Молодые лидеры образования Новосибирского района» в текущем году в проекте принимали участие 32 молодых педагогических работника района. 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contextualSpacing/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16 учителей выбрали для работы Новосибирский район и трудоустроились в школы 1 сентября 2023 года по федеральной программе «Земский учитель» (в 2022 году – 10 учителей).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9"/>
        <w:jc w:val="both"/>
        <w:rPr>
          <w:rFonts w:eastAsia="Calibri"/>
          <w:sz w:val="28"/>
          <w:szCs w:val="28"/>
          <w:highlight w:val="white"/>
        </w:rPr>
      </w:pPr>
      <w:r>
        <w:rPr>
          <w:rFonts w:eastAsia="Calibri"/>
          <w:sz w:val="28"/>
          <w:szCs w:val="28"/>
          <w:highlight w:val="white"/>
        </w:rPr>
        <w:t xml:space="preserve">Педагоги Новосибирского района стали победителями и призерами значимых конкурсов профессионального мастерства: </w:t>
      </w:r>
      <w:r>
        <w:rPr>
          <w:rFonts w:eastAsia="Calibri"/>
          <w:sz w:val="28"/>
          <w:szCs w:val="28"/>
          <w:highlight w:val="white"/>
        </w:rPr>
      </w:r>
      <w:r>
        <w:rPr>
          <w:rFonts w:eastAsia="Calibri"/>
          <w:sz w:val="28"/>
          <w:szCs w:val="28"/>
          <w:highlight w:val="white"/>
        </w:rPr>
      </w:r>
    </w:p>
    <w:p>
      <w:pPr>
        <w:ind w:firstLine="708"/>
        <w:jc w:val="both"/>
        <w:rPr>
          <w:rFonts w:eastAsia="Calibri"/>
          <w:sz w:val="28"/>
          <w:szCs w:val="28"/>
          <w:highlight w:val="white"/>
        </w:rPr>
      </w:pPr>
      <w:r>
        <w:rPr>
          <w:rFonts w:eastAsia="Calibri"/>
          <w:sz w:val="28"/>
          <w:szCs w:val="28"/>
          <w:highlight w:val="white"/>
        </w:rPr>
        <w:t xml:space="preserve">- лауреатом регионального конкурса </w:t>
      </w:r>
      <w:r>
        <w:rPr>
          <w:sz w:val="28"/>
          <w:szCs w:val="28"/>
          <w:highlight w:val="white"/>
          <w:shd w:val="clear" w:color="auto" w:fill="ffffff"/>
        </w:rPr>
        <w:t xml:space="preserve">профессионального мастерства «Педагог – психолог Новосибирской области» стала Елизавета Юрьевна </w:t>
      </w:r>
      <w:r>
        <w:rPr>
          <w:sz w:val="28"/>
          <w:szCs w:val="28"/>
          <w:highlight w:val="white"/>
          <w:shd w:val="clear" w:color="auto" w:fill="ffffff"/>
        </w:rPr>
        <w:t xml:space="preserve">Крапивенцева</w:t>
      </w:r>
      <w:r>
        <w:rPr>
          <w:sz w:val="28"/>
          <w:szCs w:val="28"/>
          <w:highlight w:val="white"/>
          <w:shd w:val="clear" w:color="auto" w:fill="ffffff"/>
        </w:rPr>
        <w:t xml:space="preserve">, педагог-психолог МБОУ «</w:t>
      </w:r>
      <w:r>
        <w:rPr>
          <w:sz w:val="28"/>
          <w:szCs w:val="28"/>
          <w:highlight w:val="white"/>
          <w:shd w:val="clear" w:color="auto" w:fill="ffffff"/>
        </w:rPr>
        <w:t xml:space="preserve">Краснояровская</w:t>
      </w:r>
      <w:r>
        <w:rPr>
          <w:sz w:val="28"/>
          <w:szCs w:val="28"/>
          <w:highlight w:val="white"/>
          <w:shd w:val="clear" w:color="auto" w:fill="ffffff"/>
        </w:rPr>
        <w:t xml:space="preserve"> школа № 30 им. Героя России А. Галле»,</w:t>
      </w:r>
      <w:r>
        <w:rPr>
          <w:rFonts w:eastAsia="Calibri"/>
          <w:sz w:val="28"/>
          <w:szCs w:val="28"/>
          <w:highlight w:val="white"/>
        </w:rPr>
        <w:t xml:space="preserve"> Анна Игоревна Киселева, педагог-психолог детского сада «Росток» по итогу конкурсных испытаний вошла в десятку лучших педагогов-психологов Новосибирской области;</w:t>
      </w:r>
      <w:r>
        <w:rPr>
          <w:rFonts w:eastAsia="Calibri"/>
          <w:sz w:val="28"/>
          <w:szCs w:val="28"/>
          <w:highlight w:val="white"/>
        </w:rPr>
      </w:r>
      <w:r>
        <w:rPr>
          <w:rFonts w:eastAsia="Calibri"/>
          <w:sz w:val="28"/>
          <w:szCs w:val="28"/>
          <w:highlight w:val="white"/>
        </w:rPr>
      </w:r>
    </w:p>
    <w:p>
      <w:pPr>
        <w:ind w:firstLine="708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  <w:shd w:val="clear" w:color="auto" w:fill="ffffff"/>
        </w:rPr>
        <w:t xml:space="preserve">- лауреатом регионального этапа Всероссийского конкурса «Воспитатель года – 2023» стала </w:t>
      </w:r>
      <w:r>
        <w:rPr>
          <w:sz w:val="28"/>
          <w:szCs w:val="28"/>
          <w:highlight w:val="white"/>
        </w:rPr>
        <w:t xml:space="preserve">Наталья Николаевна Ксенофонтова, воспитатель детского сада «Дельфин»;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8"/>
        <w:jc w:val="both"/>
        <w:rPr>
          <w:sz w:val="28"/>
          <w:szCs w:val="28"/>
          <w:highlight w:val="white"/>
          <w:shd w:val="clear" w:color="auto" w:fill="ffffff"/>
        </w:rPr>
      </w:pPr>
      <w:r>
        <w:rPr>
          <w:sz w:val="28"/>
          <w:szCs w:val="28"/>
          <w:highlight w:val="white"/>
          <w:shd w:val="clear" w:color="auto" w:fill="ffffff"/>
        </w:rPr>
        <w:t xml:space="preserve">- Алексей Тимофеевич </w:t>
      </w:r>
      <w:r>
        <w:rPr>
          <w:sz w:val="28"/>
          <w:szCs w:val="28"/>
          <w:highlight w:val="white"/>
          <w:shd w:val="clear" w:color="auto" w:fill="ffffff"/>
        </w:rPr>
        <w:t xml:space="preserve">Худин</w:t>
      </w:r>
      <w:r>
        <w:rPr>
          <w:sz w:val="28"/>
          <w:szCs w:val="28"/>
          <w:highlight w:val="white"/>
          <w:shd w:val="clear" w:color="auto" w:fill="ffffff"/>
        </w:rPr>
        <w:t xml:space="preserve">, учитель физической культуры МАОУ «Гимназия «</w:t>
      </w:r>
      <w:r>
        <w:rPr>
          <w:sz w:val="28"/>
          <w:szCs w:val="28"/>
          <w:highlight w:val="white"/>
          <w:shd w:val="clear" w:color="auto" w:fill="ffffff"/>
        </w:rPr>
        <w:t xml:space="preserve">Краснообская</w:t>
      </w:r>
      <w:r>
        <w:rPr>
          <w:sz w:val="28"/>
          <w:szCs w:val="28"/>
          <w:highlight w:val="white"/>
          <w:shd w:val="clear" w:color="auto" w:fill="ffffff"/>
        </w:rPr>
        <w:t xml:space="preserve">» по результатам конкурсных испытаний регионального этапа Всероссийского конкурса «Учитель года – 2023» вошел в десятку лучших учителей Новосибирской области, стал победителем </w:t>
      </w:r>
      <w:r>
        <w:rPr>
          <w:sz w:val="28"/>
          <w:szCs w:val="28"/>
          <w:highlight w:val="white"/>
          <w:shd w:val="clear" w:color="auto" w:fill="ffffff"/>
        </w:rPr>
        <w:t xml:space="preserve">регионального этапа</w:t>
      </w:r>
      <w:r>
        <w:rPr>
          <w:sz w:val="28"/>
          <w:szCs w:val="28"/>
          <w:highlight w:val="white"/>
          <w:shd w:val="clear" w:color="auto" w:fill="ffffff"/>
        </w:rPr>
        <w:t xml:space="preserve"> открытого заочного Всероссийского смотра-конкурса на лучшую постановку физкультурной работы и развитие массового спорта среди школьных спортивных клубов.</w:t>
      </w:r>
      <w:r>
        <w:rPr>
          <w:sz w:val="28"/>
          <w:szCs w:val="28"/>
          <w:highlight w:val="white"/>
          <w:shd w:val="clear" w:color="auto" w:fill="ffffff"/>
        </w:rPr>
      </w:r>
      <w:r>
        <w:rPr>
          <w:sz w:val="28"/>
          <w:szCs w:val="28"/>
          <w:highlight w:val="white"/>
          <w:shd w:val="clear" w:color="auto" w:fill="ffffff"/>
        </w:rPr>
      </w:r>
    </w:p>
    <w:p>
      <w:pPr>
        <w:ind w:firstLine="708"/>
        <w:jc w:val="both"/>
        <w:rPr>
          <w:sz w:val="28"/>
          <w:highlight w:val="white"/>
        </w:rPr>
      </w:pPr>
      <w:r>
        <w:rPr>
          <w:sz w:val="28"/>
          <w:szCs w:val="28"/>
          <w:highlight w:val="white"/>
          <w:shd w:val="clear" w:color="auto" w:fill="ffffff"/>
        </w:rPr>
        <w:t xml:space="preserve">В конкурсе на присуждение премии лучшим учителям за достижения в педагогической деятельности на территории Новосибирской области в 2023 году победила </w:t>
      </w:r>
      <w:r>
        <w:rPr>
          <w:sz w:val="28"/>
          <w:highlight w:val="white"/>
        </w:rPr>
        <w:t xml:space="preserve">Жителева</w:t>
      </w:r>
      <w:r>
        <w:rPr>
          <w:sz w:val="28"/>
          <w:highlight w:val="white"/>
        </w:rPr>
        <w:t xml:space="preserve"> Татьяна Александровна – учитель физики МАОУ - лицея № 13 п. </w:t>
      </w:r>
      <w:r>
        <w:rPr>
          <w:sz w:val="28"/>
          <w:highlight w:val="white"/>
        </w:rPr>
        <w:t xml:space="preserve">Краснообск</w:t>
      </w:r>
      <w:r>
        <w:rPr>
          <w:sz w:val="28"/>
          <w:highlight w:val="white"/>
        </w:rPr>
        <w:t xml:space="preserve">.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8"/>
        <w:jc w:val="both"/>
        <w:rPr>
          <w:rFonts w:eastAsia="Calibri"/>
          <w:sz w:val="28"/>
          <w:szCs w:val="28"/>
          <w:highlight w:val="white"/>
        </w:rPr>
      </w:pPr>
      <w:r>
        <w:rPr>
          <w:rFonts w:eastAsia="Calibri"/>
          <w:sz w:val="28"/>
          <w:szCs w:val="28"/>
          <w:highlight w:val="white"/>
        </w:rPr>
        <w:t xml:space="preserve">В 2023 году работникам системы образования Новосибирского района вручены ведомственные знаки отличия Министерства просвещения Российской Федерации «Отличник просвещения»:</w:t>
      </w:r>
      <w:r>
        <w:rPr>
          <w:rFonts w:eastAsia="Calibri"/>
          <w:sz w:val="28"/>
          <w:szCs w:val="28"/>
          <w:highlight w:val="white"/>
        </w:rPr>
      </w:r>
      <w:r>
        <w:rPr>
          <w:rFonts w:eastAsia="Calibri"/>
          <w:sz w:val="28"/>
          <w:szCs w:val="28"/>
          <w:highlight w:val="white"/>
        </w:rPr>
      </w:r>
    </w:p>
    <w:p>
      <w:pPr>
        <w:ind w:firstLine="708"/>
        <w:jc w:val="both"/>
        <w:rPr>
          <w:sz w:val="28"/>
          <w:szCs w:val="28"/>
          <w:highlight w:val="white"/>
        </w:rPr>
      </w:pPr>
      <w:r>
        <w:rPr>
          <w:rFonts w:eastAsia="Calibri"/>
          <w:sz w:val="28"/>
          <w:szCs w:val="28"/>
          <w:highlight w:val="white"/>
        </w:rPr>
        <w:t xml:space="preserve">Барковой</w:t>
      </w:r>
      <w:r>
        <w:rPr>
          <w:rFonts w:eastAsia="Calibri"/>
          <w:sz w:val="28"/>
          <w:szCs w:val="28"/>
          <w:highlight w:val="white"/>
        </w:rPr>
        <w:t xml:space="preserve"> Елене Ивановне – старшему воспитателю </w:t>
      </w:r>
      <w:r>
        <w:rPr>
          <w:sz w:val="28"/>
          <w:szCs w:val="28"/>
          <w:highlight w:val="white"/>
        </w:rPr>
        <w:t xml:space="preserve">детского сада «Росток»;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8"/>
        <w:jc w:val="both"/>
        <w:rPr>
          <w:rFonts w:eastAsia="Calibri"/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Ионину Максиму Геннадьевичу – учителю физической культуры </w:t>
      </w:r>
      <w:r>
        <w:rPr>
          <w:sz w:val="28"/>
          <w:szCs w:val="28"/>
          <w:highlight w:val="white"/>
        </w:rPr>
        <w:t xml:space="preserve">Краснообской</w:t>
      </w:r>
      <w:r>
        <w:rPr>
          <w:sz w:val="28"/>
          <w:szCs w:val="28"/>
          <w:highlight w:val="white"/>
        </w:rPr>
        <w:t xml:space="preserve"> школы № 1.</w:t>
      </w:r>
      <w:r>
        <w:rPr>
          <w:rFonts w:eastAsia="Calibri"/>
          <w:sz w:val="28"/>
          <w:szCs w:val="28"/>
          <w:highlight w:val="white"/>
        </w:rPr>
      </w:r>
      <w:r>
        <w:rPr>
          <w:rFonts w:eastAsia="Calibri"/>
          <w:sz w:val="28"/>
          <w:szCs w:val="28"/>
          <w:highlight w:val="white"/>
        </w:rPr>
      </w:r>
    </w:p>
    <w:p>
      <w:pPr>
        <w:contextualSpacing/>
        <w:ind w:firstLine="708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В ФГБОУ ВО «НГПУ» в 2023 году осуществлялась целевая подготовка педагогических кадров для Новосибирского района: по программам </w:t>
      </w:r>
      <w:r>
        <w:rPr>
          <w:sz w:val="28"/>
          <w:highlight w:val="white"/>
        </w:rPr>
        <w:t xml:space="preserve">бакалавриата</w:t>
      </w:r>
      <w:r>
        <w:rPr>
          <w:sz w:val="28"/>
          <w:highlight w:val="white"/>
        </w:rPr>
        <w:t xml:space="preserve"> – 65 чел. (в 2022 году – 56 чел.), магистратуры – 32 чел. (в 2022 году – 39 чел.), аспирантуры – 1 чел.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contextualSpacing/>
        <w:ind w:firstLine="709"/>
        <w:jc w:val="both"/>
        <w:rPr>
          <w:sz w:val="28"/>
          <w:highlight w:val="white"/>
        </w:rPr>
      </w:pPr>
      <w:r>
        <w:rPr>
          <w:sz w:val="28"/>
          <w:highlight w:val="white"/>
        </w:rPr>
        <w:t xml:space="preserve">В целях закрепления педагогических кадров в Новосибирском районе администрацией Новосибирского района работникам образования ежегодно предоставляется служебное жилье. В отчетном году служебные квартиры </w:t>
      </w:r>
      <w:r>
        <w:rPr>
          <w:sz w:val="28"/>
          <w:highlight w:val="white"/>
        </w:rPr>
        <w:t xml:space="preserve">получили 14 педагогов (в 2022 году – 8 педагогов). В муниципальных образовательных учреждениях развивается наставничество.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contextualSpacing/>
        <w:ind w:firstLine="709"/>
        <w:jc w:val="both"/>
        <w:rPr>
          <w:sz w:val="28"/>
        </w:rPr>
      </w:pPr>
      <w:r>
        <w:rPr>
          <w:sz w:val="28"/>
        </w:rPr>
      </w:r>
      <w:r>
        <w:rPr>
          <w:sz w:val="28"/>
        </w:rPr>
      </w:r>
      <w:r>
        <w:rPr>
          <w:sz w:val="28"/>
        </w:rPr>
      </w:r>
    </w:p>
    <w:p>
      <w:pPr>
        <w:pStyle w:val="966"/>
        <w:ind w:left="0" w:firstLine="709"/>
        <w:jc w:val="both"/>
        <w:tabs>
          <w:tab w:val="left" w:pos="10206" w:leader="none"/>
        </w:tabs>
        <w:rPr>
          <w:sz w:val="28"/>
        </w:rPr>
      </w:pPr>
      <w:r>
        <w:rPr>
          <w:sz w:val="28"/>
        </w:rPr>
        <w:t xml:space="preserve">5.4. Культура</w:t>
      </w:r>
      <w:r>
        <w:rPr>
          <w:sz w:val="28"/>
        </w:rPr>
      </w:r>
      <w:r>
        <w:rPr>
          <w:sz w:val="28"/>
        </w:rPr>
      </w:r>
    </w:p>
    <w:p>
      <w:r/>
      <w:r/>
    </w:p>
    <w:p>
      <w:pPr>
        <w:pStyle w:val="979"/>
        <w:ind w:firstLine="708"/>
        <w:jc w:val="both"/>
        <w:spacing w:before="0" w:beforeAutospacing="0" w:after="0" w:afterAutospacing="0"/>
        <w:shd w:val="clear" w:color="auto" w:fill="ffffff"/>
        <w:rPr>
          <w:sz w:val="22"/>
          <w:szCs w:val="22"/>
          <w:highlight w:val="white"/>
        </w:rPr>
      </w:pPr>
      <w:r>
        <w:rPr>
          <w:sz w:val="28"/>
          <w:szCs w:val="28"/>
          <w:highlight w:val="white"/>
        </w:rPr>
        <w:t xml:space="preserve">В районе осуществляют свою деятельность 30 учреждений культуры и дополнительного образования в сфере культуры и искусства, в </w:t>
      </w:r>
      <w:r>
        <w:rPr>
          <w:sz w:val="28"/>
          <w:szCs w:val="28"/>
          <w:highlight w:val="white"/>
        </w:rPr>
        <w:t xml:space="preserve">т.ч</w:t>
      </w:r>
      <w:r>
        <w:rPr>
          <w:sz w:val="28"/>
          <w:szCs w:val="28"/>
          <w:highlight w:val="white"/>
        </w:rPr>
        <w:t xml:space="preserve">.:</w:t>
      </w: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pStyle w:val="979"/>
        <w:ind w:firstLine="708"/>
        <w:jc w:val="both"/>
        <w:spacing w:before="0" w:beforeAutospacing="0" w:after="0" w:afterAutospacing="0"/>
        <w:shd w:val="clear" w:color="auto" w:fill="ffffff"/>
        <w:rPr>
          <w:sz w:val="22"/>
          <w:szCs w:val="22"/>
          <w:highlight w:val="white"/>
        </w:rPr>
      </w:pPr>
      <w:r>
        <w:rPr>
          <w:sz w:val="28"/>
          <w:szCs w:val="28"/>
          <w:highlight w:val="white"/>
        </w:rPr>
        <w:t xml:space="preserve">- централизованная библиотечная система с 35 филиалами сельских библиотек и количеством читателей 22 716 человек (из них 11 490 человек </w:t>
      </w:r>
      <w:r>
        <w:rPr>
          <w:sz w:val="28"/>
          <w:highlight w:val="white"/>
        </w:rPr>
        <w:t xml:space="preserve">–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highlight w:val="white"/>
        </w:rPr>
        <w:t xml:space="preserve">дети до 14-ти лет);</w:t>
      </w: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pStyle w:val="979"/>
        <w:ind w:firstLine="708"/>
        <w:jc w:val="both"/>
        <w:spacing w:before="0" w:beforeAutospacing="0" w:after="0" w:afterAutospacing="0"/>
        <w:shd w:val="clear" w:color="auto" w:fill="ffffff"/>
        <w:rPr>
          <w:sz w:val="22"/>
          <w:szCs w:val="22"/>
          <w:highlight w:val="white"/>
        </w:rPr>
      </w:pPr>
      <w:r>
        <w:rPr>
          <w:sz w:val="28"/>
          <w:szCs w:val="28"/>
          <w:highlight w:val="white"/>
        </w:rPr>
        <w:t xml:space="preserve">- 10 учреждений дополнительного образования детей с количеством учащихся 2 221 человек;</w:t>
      </w: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pStyle w:val="979"/>
        <w:ind w:firstLine="708"/>
        <w:jc w:val="both"/>
        <w:spacing w:before="0" w:beforeAutospacing="0" w:after="0" w:afterAutospacing="0"/>
        <w:shd w:val="clear" w:color="auto" w:fill="ffffff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- 19 учреждений культурно-досугового типа, в которых созданы и работают 531 клубное формирование (303 из них </w:t>
      </w:r>
      <w:r>
        <w:rPr>
          <w:sz w:val="28"/>
          <w:highlight w:val="white"/>
        </w:rPr>
        <w:t xml:space="preserve">–</w:t>
      </w:r>
      <w:r>
        <w:rPr>
          <w:sz w:val="28"/>
          <w:szCs w:val="28"/>
          <w:highlight w:val="white"/>
        </w:rPr>
        <w:t xml:space="preserve"> для д</w:t>
      </w:r>
      <w:r>
        <w:rPr>
          <w:sz w:val="28"/>
          <w:szCs w:val="28"/>
          <w:highlight w:val="white"/>
        </w:rPr>
        <w:t xml:space="preserve">етей до 14-ти лет), с количеством участников 10 324 человека, из них 5 553 дети до 14-ти лет. Увеличение численности читателей и участников клубных формирований в сравнении с прошлым годом обусловлено снятием ограничительных мер, введенных ранее в связи с </w:t>
      </w:r>
      <w:r>
        <w:rPr>
          <w:sz w:val="28"/>
          <w:szCs w:val="28"/>
          <w:highlight w:val="white"/>
        </w:rPr>
        <w:t xml:space="preserve">коронавирусной</w:t>
      </w:r>
      <w:r>
        <w:rPr>
          <w:sz w:val="28"/>
          <w:szCs w:val="28"/>
          <w:highlight w:val="white"/>
        </w:rPr>
        <w:t xml:space="preserve"> инфекцией.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pStyle w:val="979"/>
        <w:ind w:firstLine="709"/>
        <w:jc w:val="both"/>
        <w:spacing w:before="0" w:beforeAutospacing="0" w:after="0" w:afterAutospacing="0"/>
        <w:shd w:val="clear" w:color="auto" w:fill="ffffff"/>
        <w:rPr>
          <w:sz w:val="22"/>
          <w:szCs w:val="22"/>
          <w:highlight w:val="white"/>
        </w:rPr>
      </w:pPr>
      <w:r>
        <w:rPr>
          <w:sz w:val="28"/>
          <w:szCs w:val="28"/>
          <w:highlight w:val="white"/>
        </w:rPr>
        <w:t xml:space="preserve">Среднесписочная численность работников отрасли культуры по итогам года составила 554 человека. Средняя заработная плата работников учреждений культуры списочного состава</w:t>
      </w:r>
      <w:r>
        <w:rPr>
          <w:sz w:val="28"/>
          <w:highlight w:val="white"/>
        </w:rPr>
        <w:t xml:space="preserve"> –</w:t>
      </w:r>
      <w:r>
        <w:rPr>
          <w:sz w:val="28"/>
          <w:szCs w:val="28"/>
          <w:highlight w:val="white"/>
        </w:rPr>
        <w:t xml:space="preserve"> 45 969 рублей.</w:t>
      </w:r>
      <w:r>
        <w:rPr>
          <w:sz w:val="22"/>
          <w:szCs w:val="22"/>
          <w:highlight w:val="white"/>
        </w:rPr>
      </w:r>
      <w:r>
        <w:rPr>
          <w:sz w:val="22"/>
          <w:szCs w:val="22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Из особо значимых мероприятий, организованных в отчетном периоде можно отметить следующие</w:t>
      </w:r>
      <w:r>
        <w:rPr>
          <w:sz w:val="28"/>
          <w:szCs w:val="28"/>
        </w:rPr>
        <w:t xml:space="preserve">: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pStyle w:val="898"/>
        <w:numPr>
          <w:ilvl w:val="0"/>
          <w:numId w:val="12"/>
        </w:numPr>
        <w:ind w:left="0" w:firstLine="709"/>
        <w:rPr>
          <w:szCs w:val="28"/>
          <w:highlight w:val="white"/>
        </w:rPr>
      </w:pPr>
      <w:r>
        <w:rPr>
          <w:szCs w:val="28"/>
        </w:rPr>
        <w:t xml:space="preserve">в</w:t>
      </w:r>
      <w:r>
        <w:rPr>
          <w:szCs w:val="28"/>
          <w:highlight w:val="white"/>
        </w:rPr>
        <w:t xml:space="preserve"> с. Ярково были организованы торжественные мероприятия, посвященные Дню Защитника Отечества. В Доме офицеров состоялось торжественное собрание, приуро</w:t>
      </w:r>
      <w:r>
        <w:rPr>
          <w:szCs w:val="28"/>
          <w:highlight w:val="white"/>
        </w:rPr>
        <w:t xml:space="preserve">ченное ко Дню защитника Отечества, на котором прошла церемония награждения военнослужащих 24-й отдельной бригады специального назначения, выполнявших боевые задачи в зоне проведения СВО. Героям вручили ордена Мужества, медали «За Отвагу», медали Суворова и</w:t>
      </w:r>
      <w:r>
        <w:rPr>
          <w:szCs w:val="28"/>
          <w:highlight w:val="white"/>
        </w:rPr>
        <w:t xml:space="preserve"> Жукова. Минутой молчания почтили память погибших военнослужащих. В заключении состоялась концертная программа с участием духового оркестра и творческих коллективов учреждений культуры Новосибирского района. В мероприятии приняли участие около 300 человек;</w:t>
      </w:r>
      <w:r>
        <w:rPr>
          <w:szCs w:val="28"/>
          <w:highlight w:val="white"/>
        </w:rPr>
      </w:r>
      <w:r>
        <w:rPr>
          <w:szCs w:val="28"/>
          <w:highlight w:val="white"/>
        </w:rPr>
      </w:r>
    </w:p>
    <w:p>
      <w:pPr>
        <w:pStyle w:val="898"/>
        <w:numPr>
          <w:ilvl w:val="0"/>
          <w:numId w:val="12"/>
        </w:numPr>
        <w:ind w:left="0" w:firstLine="709"/>
        <w:rPr>
          <w:szCs w:val="28"/>
          <w:highlight w:val="white"/>
        </w:rPr>
      </w:pPr>
      <w:r>
        <w:rPr>
          <w:szCs w:val="28"/>
          <w:highlight w:val="white"/>
        </w:rPr>
        <w:t xml:space="preserve">в с. </w:t>
      </w:r>
      <w:r>
        <w:rPr>
          <w:szCs w:val="28"/>
          <w:highlight w:val="white"/>
        </w:rPr>
        <w:t xml:space="preserve">Криводановка</w:t>
      </w:r>
      <w:r>
        <w:rPr>
          <w:szCs w:val="28"/>
          <w:highlight w:val="white"/>
        </w:rPr>
        <w:t xml:space="preserve"> состоялось торжественное мероп</w:t>
      </w:r>
      <w:r>
        <w:rPr>
          <w:szCs w:val="28"/>
          <w:highlight w:val="white"/>
        </w:rPr>
        <w:t xml:space="preserve">риятие и праздничный концерт ко Дню работника культуры. Были вручены почетные грамоты, благодарности и благодарственные письма лучшим работникам культуры Новосибирского района.  Всего было вручено 85 наград. В мероприятии приняли участие более 100 человек.</w:t>
      </w:r>
      <w:r>
        <w:rPr>
          <w:szCs w:val="28"/>
          <w:highlight w:val="white"/>
        </w:rPr>
      </w:r>
      <w:r>
        <w:rPr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Управление культуры Новосибирского района продолжает организацию </w:t>
      </w:r>
      <w:r>
        <w:rPr>
          <w:sz w:val="28"/>
          <w:szCs w:val="28"/>
          <w:highlight w:val="white"/>
        </w:rPr>
        <w:t xml:space="preserve">конкурсно</w:t>
      </w:r>
      <w:r>
        <w:rPr>
          <w:sz w:val="28"/>
          <w:szCs w:val="28"/>
          <w:highlight w:val="white"/>
        </w:rPr>
        <w:t xml:space="preserve">-фестивальной деятельности на территории района.  Из особо значимых мероприятий, организованных в отчетном периоде можно отметить: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- I районный детский вокальный фестиваль – конкурс «Солнечный микрофон», который состоялся в с. Верх-Тула, в конкурсе приняли участие около 200 детей;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- районный фестиваль-конкурс инструментального исполнительства Новосибирского района «Каскад» (с. Верх-Тула). В конкурсе приняли участие 70 человек – солисты и ансамбли (в том числе вокально - инструментальные);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- I районный фестиваль-конкурс вокального творчества «Музыкальный экспресс» (с. </w:t>
      </w:r>
      <w:r>
        <w:rPr>
          <w:sz w:val="28"/>
          <w:szCs w:val="28"/>
          <w:highlight w:val="white"/>
        </w:rPr>
        <w:t xml:space="preserve">Криводановка</w:t>
      </w:r>
      <w:r>
        <w:rPr>
          <w:sz w:val="28"/>
          <w:szCs w:val="28"/>
          <w:highlight w:val="white"/>
        </w:rPr>
        <w:t xml:space="preserve">). В конкурсе приняли участие солисты и ансамбли по направлениям: «Академический вокал», «Народный вокал», «Эстрадный вокал», было представлено 27 заявок, приняли участие около 150 вокалистов;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- I районный конкурс среди преподавателей учреждений дополнительного образования «Призвание». В конкурсе приняли участие 25 преподавателей детских школ искусств и музыкальной школы Новосибирского района;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- в Доме культуры села </w:t>
      </w:r>
      <w:r>
        <w:rPr>
          <w:sz w:val="28"/>
          <w:szCs w:val="28"/>
          <w:highlight w:val="white"/>
        </w:rPr>
        <w:t xml:space="preserve">Криводановка</w:t>
      </w:r>
      <w:r>
        <w:rPr>
          <w:sz w:val="28"/>
          <w:szCs w:val="28"/>
          <w:highlight w:val="white"/>
        </w:rPr>
        <w:t xml:space="preserve"> в апреле прошел традиционный районный фестиваль-конкурс хореографических коллективов «Жар-птица» (возрастная категория от 6 до 25 лет), прин</w:t>
      </w:r>
      <w:r>
        <w:rPr>
          <w:sz w:val="28"/>
          <w:szCs w:val="28"/>
          <w:highlight w:val="white"/>
        </w:rPr>
        <w:t xml:space="preserve">яли участие около 450 человек; в мае на той же площадке прошел районный хоровой форум «Сибирское раздолье», в котором приняли участие все (детские и взрослые) хоровые коллективы учреждений культуры района, количество участников составило около 200 человек.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  <w:highlight w:val="white"/>
        </w:rPr>
        <w:t xml:space="preserve">Традиционно прошли церемонии вручения свидетельств о назначении стипендии Главы Новосибирского района Новосибирской области для одаренных </w:t>
      </w:r>
      <w:r>
        <w:rPr>
          <w:sz w:val="28"/>
          <w:szCs w:val="28"/>
          <w:highlight w:val="white"/>
        </w:rPr>
        <w:t xml:space="preserve">детей и творческой молодежи в сфере культуры и искусства. Свидетельства получили 40 стипендиатов.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Впервые в выставочном пространстве НОВАТ состоялось открытие в</w:t>
      </w:r>
      <w:r>
        <w:rPr>
          <w:sz w:val="28"/>
          <w:szCs w:val="28"/>
          <w:highlight w:val="white"/>
        </w:rPr>
        <w:t xml:space="preserve">ыставки творческих работ «Мастера искусств Новосибирского района». На выставке представлены работы учащихся и преподавателей художественной школы, школ искусств и культурно-досуговых учреждений Новосибирского района. На выставке были представлены картины, </w:t>
      </w:r>
      <w:r>
        <w:rPr>
          <w:sz w:val="28"/>
          <w:szCs w:val="28"/>
          <w:highlight w:val="white"/>
        </w:rPr>
        <w:t xml:space="preserve">большое многообразие уникальных творческих работ, выполненных в различных жанрах и техниках декоративно-прикладного творчества и изобразительного искусства: роспись по дереву, дымковская игрушка, керамика, текстиль, лоскутное шитьё, авторские куклы из сел </w:t>
      </w:r>
      <w:r>
        <w:rPr>
          <w:sz w:val="28"/>
          <w:szCs w:val="28"/>
          <w:highlight w:val="white"/>
        </w:rPr>
        <w:t xml:space="preserve">Криводановка</w:t>
      </w:r>
      <w:r>
        <w:rPr>
          <w:sz w:val="28"/>
          <w:szCs w:val="28"/>
          <w:highlight w:val="white"/>
        </w:rPr>
        <w:t xml:space="preserve">, Верх-Тула, Ярково, </w:t>
      </w:r>
      <w:r>
        <w:rPr>
          <w:sz w:val="28"/>
          <w:szCs w:val="28"/>
          <w:highlight w:val="white"/>
        </w:rPr>
        <w:t xml:space="preserve">Барышево</w:t>
      </w:r>
      <w:r>
        <w:rPr>
          <w:sz w:val="28"/>
          <w:szCs w:val="28"/>
          <w:highlight w:val="white"/>
        </w:rPr>
        <w:t xml:space="preserve">, Плотниково, поселков </w:t>
      </w:r>
      <w:r>
        <w:rPr>
          <w:sz w:val="28"/>
          <w:szCs w:val="28"/>
          <w:highlight w:val="white"/>
        </w:rPr>
        <w:t xml:space="preserve">Тулинский</w:t>
      </w:r>
      <w:r>
        <w:rPr>
          <w:sz w:val="28"/>
          <w:szCs w:val="28"/>
          <w:highlight w:val="white"/>
        </w:rPr>
        <w:t xml:space="preserve">, </w:t>
      </w:r>
      <w:r>
        <w:rPr>
          <w:sz w:val="28"/>
          <w:szCs w:val="28"/>
          <w:highlight w:val="white"/>
        </w:rPr>
        <w:t xml:space="preserve">Кудряшовский</w:t>
      </w:r>
      <w:r>
        <w:rPr>
          <w:sz w:val="28"/>
          <w:szCs w:val="28"/>
          <w:highlight w:val="white"/>
        </w:rPr>
        <w:t xml:space="preserve">, Садовый, Приобский, Боровое и </w:t>
      </w:r>
      <w:r>
        <w:rPr>
          <w:sz w:val="28"/>
          <w:szCs w:val="28"/>
          <w:highlight w:val="white"/>
        </w:rPr>
        <w:t xml:space="preserve">р.п</w:t>
      </w:r>
      <w:r>
        <w:rPr>
          <w:sz w:val="28"/>
          <w:szCs w:val="28"/>
          <w:highlight w:val="white"/>
        </w:rPr>
        <w:t xml:space="preserve">. </w:t>
      </w:r>
      <w:r>
        <w:rPr>
          <w:sz w:val="28"/>
          <w:szCs w:val="28"/>
          <w:highlight w:val="white"/>
        </w:rPr>
        <w:t xml:space="preserve">Краснообск</w:t>
      </w:r>
      <w:r>
        <w:rPr>
          <w:sz w:val="28"/>
          <w:szCs w:val="28"/>
          <w:highlight w:val="white"/>
        </w:rPr>
        <w:t xml:space="preserve">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Благодаря этой выставке, жители и гости г. Новосибирска получили возможность увидеть творческие работы наших мастеров, получившие многочисленные награды на международных, всероссийских и региональных конкурсах.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В июле на территории Морского сельсовет</w:t>
      </w:r>
      <w:r>
        <w:rPr>
          <w:sz w:val="28"/>
          <w:szCs w:val="28"/>
          <w:highlight w:val="white"/>
        </w:rPr>
        <w:t xml:space="preserve">а в селе Ленинское состоялся второй Районный фестиваль авторской песни «Сила Музыки». Участниками фестиваля, стали жители Новосибирского района, города Новосибирска и некоторых районов Новосибирской области, в фестивале приняли участие более 50-ти человек.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По результатам областного конкурса «Лучшие сельские муниципальные учреждения культуры, находящиеся на территории Новосибирской области» победителем </w:t>
      </w:r>
      <w:r>
        <w:rPr>
          <w:sz w:val="28"/>
          <w:szCs w:val="28"/>
          <w:highlight w:val="white"/>
        </w:rPr>
        <w:t xml:space="preserve">среди учреждений</w:t>
      </w:r>
      <w:r>
        <w:rPr>
          <w:sz w:val="28"/>
          <w:szCs w:val="28"/>
          <w:highlight w:val="white"/>
        </w:rPr>
        <w:t xml:space="preserve"> стала Садовая модельная сельская библиотека централиз</w:t>
      </w:r>
      <w:r>
        <w:rPr>
          <w:sz w:val="28"/>
          <w:szCs w:val="28"/>
          <w:highlight w:val="white"/>
        </w:rPr>
        <w:t xml:space="preserve">ованной библиотечной системы Новосибирского района. Библиотеке, как победителю конкурса, в виде поощрения из областного бюджета была выделена субсидия в размере 104,2 тыс. руб., средства направлены на приобретение компьютерного оборудования для библиотеки.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В ноябре прошло три конкурсных мероприятия, </w:t>
      </w:r>
      <w:r>
        <w:rPr>
          <w:sz w:val="28"/>
          <w:szCs w:val="28"/>
          <w:highlight w:val="white"/>
        </w:rPr>
        <w:t xml:space="preserve">которые собрали около тысячи человек: II театральный фестиваль-конкурс «Бархат кулис», районная выставка-конкурс традиционного русского декоративно-прикладного искусства «Души и рук творенье» и I конкурс чтецов Новосибирского района «Художественное слово».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Осень в Новосибирском районе стала временем оглушительных побед: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pStyle w:val="898"/>
        <w:numPr>
          <w:ilvl w:val="0"/>
          <w:numId w:val="14"/>
        </w:numPr>
        <w:ind w:left="-142" w:firstLine="850"/>
        <w:rPr>
          <w:szCs w:val="28"/>
          <w:highlight w:val="white"/>
        </w:rPr>
      </w:pPr>
      <w:r>
        <w:rPr>
          <w:szCs w:val="28"/>
        </w:rPr>
        <w:t xml:space="preserve">У</w:t>
      </w:r>
      <w:r>
        <w:rPr>
          <w:szCs w:val="28"/>
          <w:highlight w:val="white"/>
        </w:rPr>
        <w:t xml:space="preserve">ченица Детской художественной школы </w:t>
      </w:r>
      <w:r>
        <w:rPr>
          <w:szCs w:val="28"/>
          <w:highlight w:val="white"/>
        </w:rPr>
        <w:t xml:space="preserve">р.п.Краснообск</w:t>
      </w:r>
      <w:r>
        <w:rPr>
          <w:szCs w:val="28"/>
          <w:highlight w:val="white"/>
        </w:rPr>
        <w:t xml:space="preserve"> Лолита Игнатенко (преподаватель </w:t>
      </w:r>
      <w:r>
        <w:rPr>
          <w:szCs w:val="28"/>
          <w:highlight w:val="white"/>
        </w:rPr>
        <w:t xml:space="preserve">Шаповалова</w:t>
      </w:r>
      <w:r>
        <w:rPr>
          <w:szCs w:val="28"/>
          <w:highlight w:val="white"/>
        </w:rPr>
        <w:t xml:space="preserve"> Елена Геннадьевна) стала победительницей XVII молодежных Дельфийских игр СНГ в номинации «Изобразительное искусство» и награждена серебряной медалью</w:t>
      </w:r>
      <w:r>
        <w:rPr>
          <w:szCs w:val="28"/>
        </w:rPr>
        <w:t xml:space="preserve">;</w:t>
      </w:r>
      <w:r>
        <w:rPr>
          <w:szCs w:val="28"/>
          <w:highlight w:val="white"/>
        </w:rPr>
      </w:r>
      <w:r>
        <w:rPr>
          <w:szCs w:val="28"/>
          <w:highlight w:val="white"/>
        </w:rPr>
      </w:r>
    </w:p>
    <w:p>
      <w:pPr>
        <w:pStyle w:val="898"/>
        <w:numPr>
          <w:ilvl w:val="0"/>
          <w:numId w:val="13"/>
        </w:numPr>
        <w:ind w:left="0" w:firstLine="709"/>
        <w:rPr>
          <w:szCs w:val="28"/>
          <w:highlight w:val="white"/>
        </w:rPr>
      </w:pPr>
      <w:r>
        <w:rPr>
          <w:szCs w:val="28"/>
          <w:highlight w:val="white"/>
        </w:rPr>
        <w:t xml:space="preserve">В городе Сыктывкар, Республики Коми в ноябре состоялись </w:t>
      </w:r>
      <w:r>
        <w:rPr>
          <w:szCs w:val="28"/>
          <w:highlight w:val="white"/>
        </w:rPr>
        <w:t xml:space="preserve">Вторые</w:t>
      </w:r>
      <w:r>
        <w:rPr>
          <w:szCs w:val="28"/>
          <w:highlight w:val="white"/>
        </w:rPr>
        <w:t xml:space="preserve"> открытые молодежные Арктические Дельфийские игры. Ученица Детской школы искусств </w:t>
      </w:r>
      <w:r>
        <w:rPr>
          <w:szCs w:val="28"/>
          <w:highlight w:val="white"/>
        </w:rPr>
        <w:t xml:space="preserve">р.п</w:t>
      </w:r>
      <w:r>
        <w:rPr>
          <w:szCs w:val="28"/>
          <w:highlight w:val="white"/>
        </w:rPr>
        <w:t xml:space="preserve">. </w:t>
      </w:r>
      <w:r>
        <w:rPr>
          <w:szCs w:val="28"/>
          <w:highlight w:val="white"/>
        </w:rPr>
        <w:t xml:space="preserve">Краснообска</w:t>
      </w:r>
      <w:r>
        <w:rPr>
          <w:szCs w:val="28"/>
          <w:highlight w:val="white"/>
        </w:rPr>
        <w:t xml:space="preserve"> Полина Жемчужникова (преподаватель – Елена Геннадьевна </w:t>
      </w:r>
      <w:r>
        <w:rPr>
          <w:szCs w:val="28"/>
          <w:highlight w:val="white"/>
        </w:rPr>
        <w:t xml:space="preserve">Шаповалова</w:t>
      </w:r>
      <w:r>
        <w:rPr>
          <w:szCs w:val="28"/>
          <w:highlight w:val="white"/>
        </w:rPr>
        <w:t xml:space="preserve">) завоевала золотую медаль в номинации «</w:t>
      </w:r>
      <w:r>
        <w:rPr>
          <w:szCs w:val="28"/>
          <w:highlight w:val="white"/>
        </w:rPr>
        <w:t xml:space="preserve">Иобразительное</w:t>
      </w:r>
      <w:r>
        <w:rPr>
          <w:szCs w:val="28"/>
          <w:highlight w:val="white"/>
        </w:rPr>
        <w:t xml:space="preserve"> искусство».</w:t>
      </w:r>
      <w:r>
        <w:rPr>
          <w:szCs w:val="28"/>
          <w:highlight w:val="white"/>
        </w:rPr>
      </w:r>
      <w:r>
        <w:rPr>
          <w:szCs w:val="28"/>
          <w:highlight w:val="white"/>
        </w:rPr>
      </w:r>
    </w:p>
    <w:p>
      <w:pPr>
        <w:ind w:right="140"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Обладателями стипендии Губернатора Новосибирской области для одаренных детей и творческой молодежи в сфере культуры и искусства в этом </w:t>
      </w:r>
      <w:r>
        <w:rPr>
          <w:sz w:val="28"/>
          <w:szCs w:val="28"/>
          <w:highlight w:val="white"/>
        </w:rPr>
        <w:t xml:space="preserve">году стали 6 человек – Осташко Степан и Клюка Софья (ДШИ </w:t>
      </w:r>
      <w:r>
        <w:rPr>
          <w:sz w:val="28"/>
          <w:szCs w:val="28"/>
          <w:highlight w:val="white"/>
        </w:rPr>
        <w:t xml:space="preserve">с.Верх</w:t>
      </w:r>
      <w:r>
        <w:rPr>
          <w:sz w:val="28"/>
          <w:szCs w:val="28"/>
          <w:highlight w:val="white"/>
        </w:rPr>
        <w:t xml:space="preserve">-Тула), Жемчужникова Полина и Игнатенко Лолита (ДХШ </w:t>
      </w:r>
      <w:r>
        <w:rPr>
          <w:sz w:val="28"/>
          <w:szCs w:val="28"/>
          <w:highlight w:val="white"/>
        </w:rPr>
        <w:t xml:space="preserve">р.п</w:t>
      </w:r>
      <w:r>
        <w:rPr>
          <w:sz w:val="28"/>
          <w:szCs w:val="28"/>
          <w:highlight w:val="white"/>
        </w:rPr>
        <w:t xml:space="preserve">. </w:t>
      </w:r>
      <w:r>
        <w:rPr>
          <w:sz w:val="28"/>
          <w:szCs w:val="28"/>
          <w:highlight w:val="white"/>
        </w:rPr>
        <w:t xml:space="preserve">Краснообск</w:t>
      </w:r>
      <w:r>
        <w:rPr>
          <w:sz w:val="28"/>
          <w:szCs w:val="28"/>
          <w:highlight w:val="white"/>
        </w:rPr>
        <w:t xml:space="preserve">), </w:t>
      </w:r>
      <w:r>
        <w:rPr>
          <w:sz w:val="28"/>
          <w:szCs w:val="28"/>
          <w:highlight w:val="white"/>
        </w:rPr>
        <w:t xml:space="preserve">Зибарева</w:t>
      </w:r>
      <w:r>
        <w:rPr>
          <w:sz w:val="28"/>
          <w:szCs w:val="28"/>
          <w:highlight w:val="white"/>
        </w:rPr>
        <w:t xml:space="preserve"> Маргарита (ДМШ </w:t>
      </w:r>
      <w:r>
        <w:rPr>
          <w:sz w:val="28"/>
          <w:szCs w:val="28"/>
          <w:highlight w:val="white"/>
        </w:rPr>
        <w:t xml:space="preserve">р.п</w:t>
      </w:r>
      <w:r>
        <w:rPr>
          <w:sz w:val="28"/>
          <w:szCs w:val="28"/>
          <w:highlight w:val="white"/>
        </w:rPr>
        <w:t xml:space="preserve">. </w:t>
      </w:r>
      <w:r>
        <w:rPr>
          <w:sz w:val="28"/>
          <w:szCs w:val="28"/>
          <w:highlight w:val="white"/>
        </w:rPr>
        <w:t xml:space="preserve">Краснообск</w:t>
      </w:r>
      <w:r>
        <w:rPr>
          <w:sz w:val="28"/>
          <w:szCs w:val="28"/>
          <w:highlight w:val="white"/>
        </w:rPr>
        <w:t xml:space="preserve">) и </w:t>
      </w:r>
      <w:r>
        <w:rPr>
          <w:sz w:val="28"/>
          <w:szCs w:val="28"/>
          <w:highlight w:val="white"/>
        </w:rPr>
        <w:t xml:space="preserve">Халяпина</w:t>
      </w:r>
      <w:r>
        <w:rPr>
          <w:sz w:val="28"/>
          <w:szCs w:val="28"/>
          <w:highlight w:val="white"/>
        </w:rPr>
        <w:t xml:space="preserve"> Маргарита (ДШИ </w:t>
      </w:r>
      <w:r>
        <w:rPr>
          <w:sz w:val="28"/>
          <w:szCs w:val="28"/>
          <w:highlight w:val="white"/>
        </w:rPr>
        <w:br/>
        <w:t xml:space="preserve">с. </w:t>
      </w:r>
      <w:r>
        <w:rPr>
          <w:sz w:val="28"/>
          <w:szCs w:val="28"/>
          <w:highlight w:val="white"/>
        </w:rPr>
        <w:t xml:space="preserve">Криводановка</w:t>
      </w:r>
      <w:r>
        <w:rPr>
          <w:sz w:val="28"/>
          <w:szCs w:val="28"/>
          <w:highlight w:val="white"/>
        </w:rPr>
        <w:t xml:space="preserve">).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right="14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Ремонтные работы в учреждениях культуры, их материально-техническое обеспечение осуществлялось в отчетном году за счет средств федерального, областного и районного бюджетов.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right="14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Так, в</w:t>
      </w:r>
      <w:r>
        <w:rPr>
          <w:sz w:val="28"/>
          <w:szCs w:val="28"/>
          <w:highlight w:val="white"/>
        </w:rPr>
        <w:t xml:space="preserve"> рамках государственной программы Новосибирской области «Культура Новосибирской области»: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right="140"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- приобретено звуковое и световое оборудование для сельского Дома культуры в д. </w:t>
      </w:r>
      <w:r>
        <w:rPr>
          <w:sz w:val="28"/>
          <w:szCs w:val="28"/>
          <w:highlight w:val="white"/>
        </w:rPr>
        <w:t xml:space="preserve">Издревая</w:t>
      </w:r>
      <w:r>
        <w:rPr>
          <w:sz w:val="28"/>
          <w:szCs w:val="28"/>
          <w:highlight w:val="white"/>
        </w:rPr>
        <w:t xml:space="preserve"> </w:t>
      </w:r>
      <w:r>
        <w:rPr>
          <w:sz w:val="28"/>
          <w:szCs w:val="28"/>
          <w:highlight w:val="white"/>
        </w:rPr>
        <w:t xml:space="preserve">Новолуговского</w:t>
      </w:r>
      <w:r>
        <w:rPr>
          <w:sz w:val="28"/>
          <w:szCs w:val="28"/>
          <w:highlight w:val="white"/>
        </w:rPr>
        <w:t xml:space="preserve"> сельсовета (600,0 тыс. руб.), для социально-культурного объединения в </w:t>
      </w:r>
      <w:r>
        <w:rPr>
          <w:sz w:val="28"/>
          <w:szCs w:val="28"/>
          <w:highlight w:val="white"/>
        </w:rPr>
        <w:t xml:space="preserve">д.п</w:t>
      </w:r>
      <w:r>
        <w:rPr>
          <w:sz w:val="28"/>
          <w:szCs w:val="28"/>
          <w:highlight w:val="white"/>
        </w:rPr>
        <w:t xml:space="preserve">. </w:t>
      </w:r>
      <w:r>
        <w:rPr>
          <w:sz w:val="28"/>
          <w:szCs w:val="28"/>
          <w:highlight w:val="white"/>
        </w:rPr>
        <w:t xml:space="preserve">Кудряшовский</w:t>
      </w:r>
      <w:r>
        <w:rPr>
          <w:sz w:val="28"/>
          <w:szCs w:val="28"/>
          <w:highlight w:val="white"/>
        </w:rPr>
        <w:t xml:space="preserve"> (640,3 тыс. руб.);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right="140"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- на комплектование библиотечных фондов муниципальных общедоступных библиотек выделено 2,4 млн руб. (средства федерального и областного бюджетов), что позволило приобрести 3862 экз. книг;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right="140"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- приобретены музыкальные инструменты и оборудование для муниципальных организаций дополнительного образования сферы культуры на сумму 4,9 млн руб.;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right="140"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- осуществлен капитальный ремонт фасада Дома культуры п. Железнодорожный МКУ СКО «Гармония» Березовского сельсовета (21,1 млн руб.) и капитальный ремонт клуба в п. Прогресс МКУ СКО «</w:t>
      </w:r>
      <w:r>
        <w:rPr>
          <w:sz w:val="28"/>
          <w:szCs w:val="28"/>
          <w:highlight w:val="white"/>
        </w:rPr>
        <w:t xml:space="preserve">Боровское</w:t>
      </w:r>
      <w:r>
        <w:rPr>
          <w:sz w:val="28"/>
          <w:szCs w:val="28"/>
          <w:highlight w:val="white"/>
        </w:rPr>
        <w:t xml:space="preserve">» Боровского сельсовета (3,7 млн руб.);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right="140"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- проведены ремонтные работы по благоустройству воинских захоронений на сумму 108,6 тыс. руб.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right="140" w:firstLine="709"/>
        <w:jc w:val="both"/>
        <w:rPr>
          <w:sz w:val="28"/>
          <w:szCs w:val="28"/>
        </w:rPr>
      </w:pPr>
      <w:r>
        <w:rPr>
          <w:sz w:val="28"/>
          <w:szCs w:val="28"/>
          <w:highlight w:val="white"/>
        </w:rPr>
        <w:t xml:space="preserve">В рамках муниципальной программы «Развитие культуры и искусства в Новосибирском районе Новосибирской области на 2022-2025 годы» в 2023 года реализованы следующие мероприятия: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right="140"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- капитальный ремонт фойе 2-го этажа и вентиляционной системы, ремонт коридоров, ремонт бокового крыльца с заменой входной группы ДК </w:t>
      </w:r>
      <w:r>
        <w:rPr>
          <w:sz w:val="28"/>
          <w:szCs w:val="28"/>
          <w:highlight w:val="white"/>
        </w:rPr>
        <w:t xml:space="preserve">с.Криводановка</w:t>
      </w:r>
      <w:r>
        <w:rPr>
          <w:sz w:val="28"/>
          <w:szCs w:val="28"/>
          <w:highlight w:val="white"/>
        </w:rPr>
        <w:t xml:space="preserve"> (10,5 млн руб.);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right="140"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- ремонт крыльца и оснащение зрительного зала ДК с. Боровое (5 млн руб.);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right="140"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- ремонт фасада здания ДК </w:t>
      </w:r>
      <w:r>
        <w:rPr>
          <w:sz w:val="28"/>
          <w:szCs w:val="28"/>
          <w:highlight w:val="white"/>
        </w:rPr>
        <w:t xml:space="preserve">с.Верх</w:t>
      </w:r>
      <w:r>
        <w:rPr>
          <w:sz w:val="28"/>
          <w:szCs w:val="28"/>
          <w:highlight w:val="white"/>
        </w:rPr>
        <w:t xml:space="preserve">-Тула (1,3 млн руб.);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right="140"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- капитальный ремонт здания детской школы искусств в </w:t>
      </w:r>
      <w:r>
        <w:rPr>
          <w:sz w:val="28"/>
          <w:szCs w:val="28"/>
          <w:highlight w:val="white"/>
        </w:rPr>
        <w:t xml:space="preserve">с.Раздольное</w:t>
      </w:r>
      <w:r>
        <w:rPr>
          <w:sz w:val="28"/>
          <w:szCs w:val="28"/>
          <w:highlight w:val="white"/>
        </w:rPr>
        <w:t xml:space="preserve"> (45,8 млн руб.);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right="140"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- ремонт входной группы для лиц с ограниченными возможностями здоровья в детской художественной школе </w:t>
      </w:r>
      <w:r>
        <w:rPr>
          <w:sz w:val="28"/>
          <w:szCs w:val="28"/>
          <w:highlight w:val="white"/>
        </w:rPr>
        <w:t xml:space="preserve">р.п</w:t>
      </w:r>
      <w:r>
        <w:rPr>
          <w:sz w:val="28"/>
          <w:szCs w:val="28"/>
          <w:highlight w:val="white"/>
        </w:rPr>
        <w:t xml:space="preserve">. </w:t>
      </w:r>
      <w:r>
        <w:rPr>
          <w:sz w:val="28"/>
          <w:szCs w:val="28"/>
          <w:highlight w:val="white"/>
        </w:rPr>
        <w:t xml:space="preserve">Краснообск</w:t>
      </w:r>
      <w:r>
        <w:rPr>
          <w:sz w:val="28"/>
          <w:szCs w:val="28"/>
          <w:highlight w:val="white"/>
        </w:rPr>
        <w:t xml:space="preserve"> (650 </w:t>
      </w:r>
      <w:r>
        <w:rPr>
          <w:sz w:val="28"/>
          <w:szCs w:val="28"/>
          <w:highlight w:val="white"/>
        </w:rPr>
        <w:t xml:space="preserve">тыс.руб</w:t>
      </w:r>
      <w:r>
        <w:rPr>
          <w:sz w:val="28"/>
          <w:szCs w:val="28"/>
          <w:highlight w:val="white"/>
        </w:rPr>
        <w:t xml:space="preserve">.);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right="140"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- капитальный ремонт ДК «Восход» в п. Сосновка </w:t>
      </w:r>
      <w:r>
        <w:rPr>
          <w:sz w:val="28"/>
          <w:szCs w:val="28"/>
          <w:highlight w:val="white"/>
        </w:rPr>
        <w:t xml:space="preserve">Кубовинского</w:t>
      </w:r>
      <w:r>
        <w:rPr>
          <w:sz w:val="28"/>
          <w:szCs w:val="28"/>
          <w:highlight w:val="white"/>
        </w:rPr>
        <w:t xml:space="preserve"> сельсовета и ДК д. </w:t>
      </w:r>
      <w:r>
        <w:rPr>
          <w:sz w:val="28"/>
          <w:szCs w:val="28"/>
          <w:highlight w:val="white"/>
        </w:rPr>
        <w:t xml:space="preserve">Издревая</w:t>
      </w:r>
      <w:r>
        <w:rPr>
          <w:sz w:val="28"/>
          <w:szCs w:val="28"/>
          <w:highlight w:val="white"/>
        </w:rPr>
        <w:t xml:space="preserve"> </w:t>
      </w:r>
      <w:r>
        <w:rPr>
          <w:sz w:val="28"/>
          <w:szCs w:val="28"/>
          <w:highlight w:val="white"/>
        </w:rPr>
        <w:t xml:space="preserve">Новолуговского</w:t>
      </w:r>
      <w:r>
        <w:rPr>
          <w:sz w:val="28"/>
          <w:szCs w:val="28"/>
          <w:highlight w:val="white"/>
        </w:rPr>
        <w:t xml:space="preserve"> сельсовета (19,6 млн руб.).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right="140"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Завершены работы по реконструкции ДК в с. Ленинское Морского сельсовета и ДК в п. Элитный Мичуринского сельсовета (6 млн руб.).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right="140"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Приобретены музыкальных инструменты и сценические костюмы для ДК </w:t>
      </w:r>
      <w:r>
        <w:rPr>
          <w:sz w:val="28"/>
          <w:szCs w:val="28"/>
          <w:highlight w:val="white"/>
        </w:rPr>
        <w:t xml:space="preserve">д.п</w:t>
      </w:r>
      <w:r>
        <w:rPr>
          <w:sz w:val="28"/>
          <w:szCs w:val="28"/>
          <w:highlight w:val="white"/>
        </w:rPr>
        <w:t xml:space="preserve">. </w:t>
      </w:r>
      <w:r>
        <w:rPr>
          <w:sz w:val="28"/>
          <w:szCs w:val="28"/>
          <w:highlight w:val="white"/>
        </w:rPr>
        <w:t xml:space="preserve">Кудряшовский</w:t>
      </w:r>
      <w:r>
        <w:rPr>
          <w:sz w:val="28"/>
          <w:szCs w:val="28"/>
          <w:highlight w:val="white"/>
        </w:rPr>
        <w:t xml:space="preserve">, </w:t>
      </w:r>
      <w:r>
        <w:rPr>
          <w:sz w:val="28"/>
          <w:szCs w:val="28"/>
          <w:highlight w:val="white"/>
        </w:rPr>
        <w:t xml:space="preserve">р.п</w:t>
      </w:r>
      <w:r>
        <w:rPr>
          <w:sz w:val="28"/>
          <w:szCs w:val="28"/>
          <w:highlight w:val="white"/>
        </w:rPr>
        <w:t xml:space="preserve">. </w:t>
      </w:r>
      <w:r>
        <w:rPr>
          <w:sz w:val="28"/>
          <w:szCs w:val="28"/>
          <w:highlight w:val="white"/>
        </w:rPr>
        <w:t xml:space="preserve">Краснообск</w:t>
      </w:r>
      <w:r>
        <w:rPr>
          <w:sz w:val="28"/>
          <w:szCs w:val="28"/>
          <w:highlight w:val="white"/>
        </w:rPr>
        <w:t xml:space="preserve">, с. Боровое, с. </w:t>
      </w:r>
      <w:r>
        <w:rPr>
          <w:sz w:val="28"/>
          <w:szCs w:val="28"/>
          <w:highlight w:val="white"/>
        </w:rPr>
        <w:t xml:space="preserve">Криводановка</w:t>
      </w:r>
      <w:r>
        <w:rPr>
          <w:sz w:val="28"/>
          <w:szCs w:val="28"/>
          <w:highlight w:val="white"/>
        </w:rPr>
        <w:t xml:space="preserve">, ДШИ с. Верх-Тула и Управления культуры Новосибирского района.  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right="140" w:firstLine="709"/>
        <w:jc w:val="both"/>
        <w:rPr>
          <w:sz w:val="28"/>
          <w:szCs w:val="28"/>
        </w:rPr>
      </w:pPr>
      <w:r>
        <w:rPr>
          <w:sz w:val="28"/>
          <w:szCs w:val="28"/>
          <w:highlight w:val="white"/>
        </w:rPr>
        <w:t xml:space="preserve">Всего на реализацию мероприятий муниципальной программы из бюджета района в 2023 году </w:t>
      </w:r>
      <w:r>
        <w:rPr>
          <w:sz w:val="28"/>
          <w:szCs w:val="28"/>
          <w:highlight w:val="white"/>
        </w:rPr>
        <w:t xml:space="preserve">направлено  159</w:t>
      </w:r>
      <w:r>
        <w:rPr>
          <w:sz w:val="28"/>
          <w:szCs w:val="28"/>
          <w:highlight w:val="white"/>
        </w:rPr>
        <w:t xml:space="preserve">,2 млн рублей ( в 2022 году - 39,6 млн руб.). 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right="140"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</w:rPr>
        <w:t xml:space="preserve">На программные мероприятия </w:t>
      </w:r>
      <w:r>
        <w:rPr>
          <w:sz w:val="28"/>
          <w:szCs w:val="28"/>
          <w:highlight w:val="white"/>
        </w:rPr>
        <w:t xml:space="preserve">муниципальной программы «Развитие культуры и искусства в Новосибирском районе Новосибирской области на 2022-2025 годы»</w:t>
      </w:r>
      <w:r>
        <w:rPr>
          <w:sz w:val="28"/>
          <w:szCs w:val="28"/>
        </w:rPr>
        <w:t xml:space="preserve"> в бюджете Новосибирского района предусмотрено 102 млн руб. 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right="140"/>
        <w:jc w:val="both"/>
        <w:tabs>
          <w:tab w:val="left" w:pos="709" w:leader="none"/>
          <w:tab w:val="left" w:pos="851" w:leader="none"/>
        </w:tabs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66"/>
        <w:jc w:val="both"/>
        <w:tabs>
          <w:tab w:val="left" w:pos="10206" w:leader="none"/>
        </w:tabs>
        <w:rPr>
          <w:sz w:val="28"/>
        </w:rPr>
      </w:pPr>
      <w:r>
        <w:rPr>
          <w:sz w:val="28"/>
        </w:rPr>
        <w:t xml:space="preserve">5.5. Физическая культура и спорт</w:t>
      </w:r>
      <w:r>
        <w:rPr>
          <w:sz w:val="28"/>
        </w:rPr>
      </w:r>
      <w:r>
        <w:rPr>
          <w:sz w:val="28"/>
        </w:rPr>
      </w:r>
    </w:p>
    <w:p>
      <w:r/>
      <w:r/>
    </w:p>
    <w:p>
      <w:pPr>
        <w:ind w:firstLine="708"/>
        <w:jc w:val="both"/>
        <w:rPr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sz w:val="28"/>
        </w:rPr>
        <w:t xml:space="preserve">Организация спортивно-массовой работы, воспитание спортсменов в районе ведется в основном на базе образовательных учреждений, детско-юношеских спортивных школ, Домов культуры </w:t>
      </w:r>
      <w:r>
        <w:rPr>
          <w:sz w:val="28"/>
        </w:rPr>
        <w:t xml:space="preserve">и  МКУ</w:t>
      </w:r>
      <w:r>
        <w:rPr>
          <w:sz w:val="28"/>
        </w:rPr>
        <w:t xml:space="preserve"> «Управление физической культуры и спорта Новосибирского района Новосибирской области»</w:t>
      </w:r>
      <w:r>
        <w:t xml:space="preserve">.</w:t>
      </w:r>
      <w:r>
        <w:rPr>
          <w:szCs w:val="24"/>
        </w:rPr>
      </w:r>
      <w:r>
        <w:rPr>
          <w:szCs w:val="24"/>
        </w:rPr>
      </w:r>
    </w:p>
    <w:p>
      <w:pPr>
        <w:ind w:firstLine="708"/>
        <w:jc w:val="both"/>
        <w:rPr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sz w:val="28"/>
          <w:szCs w:val="28"/>
        </w:rPr>
        <w:t xml:space="preserve">Физическая культура и спорт – основа социального и нравственного развития личности. В последние годы в районе предпринимаются серьезные меры по развитию и совершенствованию спортивной инфраструктуры.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8"/>
        <w:jc w:val="both"/>
        <w:rPr>
          <w:sz w:val="28"/>
          <w:szCs w:val="28"/>
          <w:highlight w:val="whit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sz w:val="28"/>
          <w:szCs w:val="28"/>
        </w:rPr>
        <w:t xml:space="preserve">За 2023 год организовано и проведено 139 спортивных и физкультурных мероприятий. Общее коли</w:t>
      </w:r>
      <w:r>
        <w:rPr>
          <w:sz w:val="28"/>
          <w:szCs w:val="28"/>
          <w:highlight w:val="white"/>
        </w:rPr>
        <w:t xml:space="preserve">чество участников составило более 15000 человек. Число участников по сравнению с 2022 годом увеличилось на 4 820 человек. 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8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Наиболее значимые мероприятия: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-  XLI открытая Всероссийская массовая лыжная гонка «Лыжня России», участниками которой стали 2076 чел.;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- в рамках фестиваля ВФСК ГТО проведен Муниципальный этап зимнего фестиваля ВФСК ГТО среди обучающихся образовательных организаций Н</w:t>
      </w:r>
      <w:r>
        <w:rPr>
          <w:sz w:val="28"/>
          <w:szCs w:val="28"/>
          <w:highlight w:val="white"/>
        </w:rPr>
        <w:t xml:space="preserve">овосибирского района Новосибирской области, в котором приняли участие более 120 чел.; муниципальный этап зимнего фестиваля ВФСК ГТО среди муниципальных образований НР 6-8 ступень (ОФП, бег на лыжах, стрельба), с общим количеством участников более 100 чел.;</w:t>
      </w:r>
      <w:r>
        <w:rPr>
          <w:sz w:val="28"/>
          <w:szCs w:val="28"/>
        </w:rPr>
        <w:t xml:space="preserve"> л</w:t>
      </w:r>
      <w:r>
        <w:rPr>
          <w:sz w:val="28"/>
          <w:szCs w:val="28"/>
          <w:highlight w:val="white"/>
        </w:rPr>
        <w:t xml:space="preserve">етний фестиваль ГТО среди муниципальных образований и лиц старшего возраста – 150 человек; Фестиваль ГТО среди инвалидов и лиц с ОВЗ – 50 человек;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</w:rPr>
        <w:t xml:space="preserve">- </w:t>
      </w:r>
      <w:r>
        <w:rPr>
          <w:sz w:val="28"/>
          <w:szCs w:val="28"/>
          <w:highlight w:val="white"/>
        </w:rPr>
        <w:t xml:space="preserve">XI Зимняя спартакиада пенсионеров Новосибирского района Новосибирской области, где приняли участие более 100 чел., и XII летняя спартакиада пенсионеров Новосибирского района Новосибирской области – более 100 участников;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-</w:t>
      </w:r>
      <w:r>
        <w:rPr>
          <w:sz w:val="28"/>
          <w:szCs w:val="28"/>
          <w:highlight w:val="white"/>
          <w:lang w:val="en-US"/>
        </w:rPr>
        <w:t xml:space="preserve"> </w:t>
      </w:r>
      <w:r>
        <w:rPr>
          <w:sz w:val="28"/>
          <w:szCs w:val="28"/>
          <w:highlight w:val="white"/>
        </w:rPr>
        <w:t xml:space="preserve">Соревнования по плаванию «День </w:t>
      </w:r>
      <w:r>
        <w:rPr>
          <w:sz w:val="28"/>
          <w:szCs w:val="28"/>
          <w:highlight w:val="white"/>
        </w:rPr>
        <w:t xml:space="preserve">Спиниста</w:t>
      </w:r>
      <w:r>
        <w:rPr>
          <w:sz w:val="28"/>
          <w:szCs w:val="28"/>
          <w:highlight w:val="white"/>
        </w:rPr>
        <w:t xml:space="preserve">» среди воспитанников центра «Арго», в соревнованиях приняли участие 91 спортсмен;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- Муниципальный этап XXV Зимних </w:t>
      </w:r>
      <w:r>
        <w:rPr>
          <w:sz w:val="28"/>
          <w:szCs w:val="28"/>
          <w:highlight w:val="white"/>
        </w:rPr>
        <w:t xml:space="preserve">сельских  игр</w:t>
      </w:r>
      <w:r>
        <w:rPr>
          <w:sz w:val="28"/>
          <w:szCs w:val="28"/>
          <w:highlight w:val="white"/>
        </w:rPr>
        <w:t xml:space="preserve">, более 100 чел.;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- Лыжный переход памяти Героя Советского Союза Л.Я. </w:t>
      </w:r>
      <w:r>
        <w:rPr>
          <w:sz w:val="28"/>
          <w:szCs w:val="28"/>
          <w:highlight w:val="white"/>
        </w:rPr>
        <w:t xml:space="preserve">Подгорбунского</w:t>
      </w:r>
      <w:r>
        <w:rPr>
          <w:sz w:val="28"/>
          <w:szCs w:val="28"/>
          <w:highlight w:val="white"/>
        </w:rPr>
        <w:t xml:space="preserve">, приняло участие 300 чел.;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- 10-е соревнования по лыжным гонкам «Хрустальная звездочка» на призы </w:t>
      </w:r>
      <w:r>
        <w:rPr>
          <w:sz w:val="28"/>
          <w:szCs w:val="28"/>
          <w:highlight w:val="white"/>
        </w:rPr>
        <w:t xml:space="preserve">двукаратного</w:t>
      </w:r>
      <w:r>
        <w:rPr>
          <w:sz w:val="28"/>
          <w:szCs w:val="28"/>
          <w:highlight w:val="white"/>
        </w:rPr>
        <w:t xml:space="preserve"> призера Олимпийских игр в Сочи Ольги </w:t>
      </w:r>
      <w:r>
        <w:rPr>
          <w:sz w:val="28"/>
          <w:szCs w:val="28"/>
          <w:highlight w:val="white"/>
        </w:rPr>
        <w:t xml:space="preserve">Вилухиной</w:t>
      </w:r>
      <w:r>
        <w:rPr>
          <w:sz w:val="28"/>
          <w:szCs w:val="28"/>
          <w:highlight w:val="white"/>
        </w:rPr>
        <w:t xml:space="preserve">, принимали участие более 200 спортсменов;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- Спартакиада профсоюзов работников образования НР НСО по лыжным гонкам - более 190 чел.;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- Спортивный фестиваль «</w:t>
      </w:r>
      <w:r>
        <w:rPr>
          <w:sz w:val="28"/>
          <w:szCs w:val="28"/>
          <w:highlight w:val="white"/>
        </w:rPr>
        <w:t xml:space="preserve">НеОлимпиада</w:t>
      </w:r>
      <w:r>
        <w:rPr>
          <w:sz w:val="28"/>
          <w:szCs w:val="28"/>
          <w:highlight w:val="white"/>
        </w:rPr>
        <w:t xml:space="preserve">» среди команд администраций и Совета депутатов Новосибирского района Новосибирской области, приняли участие 55 чел.;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- Первенство и чемпионат Новосибирского района Новосибирской области по рукопашному бою, в котором приняло участие 200 спортсменов;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- Кубок Новосибирского района Новосибирской области по мини-футболу среди детско-юношеских команд. Количество участников – 200 чел.;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- Муниципальный этап Всероссийских соревнований юных футболистов «Кожаный мяч» – 170 участников;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- Турнир по мини футболу Новосибирского района Новосибирской области памяти тренера-преподавателя Б.Ф. Быкова – более 138 чел.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- XXII Турнир НР НСО по боксу памяти главы А.Г. </w:t>
      </w:r>
      <w:r>
        <w:rPr>
          <w:sz w:val="28"/>
          <w:szCs w:val="28"/>
          <w:highlight w:val="white"/>
        </w:rPr>
        <w:t xml:space="preserve">Частикина</w:t>
      </w:r>
      <w:r>
        <w:rPr>
          <w:sz w:val="28"/>
          <w:szCs w:val="28"/>
          <w:highlight w:val="white"/>
        </w:rPr>
        <w:t xml:space="preserve"> приняли участие 180 спортсменов;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- II Всероссийская массовая велосипедная гонка «Всемирный день велосипедиста» - более 100 участников;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- IX Спартакиада НР НСО среди команд оздоровительных лагерей дневного пребывания – 218 участников;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- Проведено 6 этапов соревнований и спринтерский турнир по плаванию на призы НРФСОО «Ассоциация водных видов спорта», в соревнованиях приняли участие более 1000 чел.;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- Проведено 9 мероприятий в рамках школьной спортивной лиги среди школьных спортивных клубов муниципальных общеобразовательных учреждений Новосибирского района Новосибирской области с общей численностью участников 2200 </w:t>
      </w:r>
      <w:r>
        <w:rPr>
          <w:sz w:val="28"/>
          <w:szCs w:val="28"/>
          <w:highlight w:val="white"/>
        </w:rPr>
        <w:t xml:space="preserve">чел</w:t>
      </w:r>
      <w:r>
        <w:rPr>
          <w:sz w:val="28"/>
          <w:szCs w:val="28"/>
          <w:highlight w:val="white"/>
        </w:rPr>
        <w:t xml:space="preserve">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- Фестиваль игровых видов спорта НР НСО, приуроченный к празднованию дня физкультурника – 250 участников;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- Первенство НР НСО по баскетболу 3х3 – 70 участников;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- Первенство НР НСО по волейболу среди лиц старшего возраста – 80 человек.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- проведено 18 этапов чемпионата НР НСО по мини-футболу среди мужских команд – 80 участников в каждом этапе;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- Муниципальный этап чемпионата </w:t>
      </w:r>
      <w:r>
        <w:rPr>
          <w:sz w:val="28"/>
          <w:szCs w:val="28"/>
          <w:highlight w:val="white"/>
        </w:rPr>
        <w:t xml:space="preserve">Локобаскет</w:t>
      </w:r>
      <w:r>
        <w:rPr>
          <w:sz w:val="28"/>
          <w:szCs w:val="28"/>
          <w:highlight w:val="white"/>
        </w:rPr>
        <w:t xml:space="preserve"> - школьная лига среди юношей и девушек – около 100 участников;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  <w:highlight w:val="white"/>
        </w:rPr>
        <w:t xml:space="preserve">- Спартакиада Новосибирского района среди инвалидов и лиц с ОВЗ – 100 человек.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2023 году сборные команды Новосибирского района Новосибирской области на соревнованиях: регионального, межрегионального, всероссийского и международного уровней завоевали 223 медали, из них: 79 золотых, 78 серебряных и 66 бронзовых.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Наиболее значимые спортивные результаты: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 чемпионат Новосибирской области по волейболу – 1 место;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 Кубок Новосибирской области по баскетболу – 1 место;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 областной зимний фестиваль Всероссийского физкультурно-спортивного комплекса «Готов к труду и обороне» (ГТО) среди муниципальных образований – 1 место;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 областной фестиваль Всероссийского физкультурно-спортивного комплекса «Готов к труду и обороне» (ГТО) для лиц старшего возраста – 1 место;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 VII региональный этап летнего фестиваля «Готов к труду и обороне» среди образовательных организаций – 1 место;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 X Летняя Спартакиада муниципальных образований Новосибирской области – 2 место;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 областной летний фестиваль ВФСК «Готов к труду и обороне» среди муниципальных образований – 1 место;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 областной фестиваль ВФСК ГТО среди семейных команд – 2 место;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</w:rPr>
        <w:t xml:space="preserve">– областной зимний фестиваль Всероссийского физкультурно-спортивного комплекса «Готов к труду и обороне» (ГТО) среди муниципальных образований – 2 место.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  <w:highlight w:val="white"/>
        </w:rPr>
        <w:t xml:space="preserve">За  2023</w:t>
      </w:r>
      <w:r>
        <w:rPr>
          <w:sz w:val="28"/>
          <w:szCs w:val="28"/>
          <w:highlight w:val="white"/>
        </w:rPr>
        <w:t xml:space="preserve"> год за счет средств муниципальной программы «Развитие физической культуры и спорта в Новосибирском районе Новосибирской области на 2019-2025 годы» построены: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4 спортивные площадки по подготовке и сдаче нормативов ГТО (в п. Березовка, п. Железнодорожный, с. Плотниково, с. </w:t>
      </w:r>
      <w:r>
        <w:rPr>
          <w:sz w:val="28"/>
          <w:szCs w:val="28"/>
          <w:highlight w:val="white"/>
        </w:rPr>
        <w:t xml:space="preserve">Красноглинное</w:t>
      </w:r>
      <w:r>
        <w:rPr>
          <w:sz w:val="28"/>
          <w:szCs w:val="28"/>
          <w:highlight w:val="white"/>
        </w:rPr>
        <w:t xml:space="preserve">);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4 универсальные спортивные площадки по типу «Стадион-площадка» (в п. Железнодорожный, п. Верх-Тула, д. Алексеевка, п. Красный Яр);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спортивная площадка в с. Ленинское, хоккейная площадка в с. Боровое; 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произведен </w:t>
      </w:r>
      <w:r>
        <w:rPr>
          <w:sz w:val="28"/>
          <w:szCs w:val="28"/>
          <w:highlight w:val="white"/>
        </w:rPr>
        <w:t xml:space="preserve">ремонт  хоккейной</w:t>
      </w:r>
      <w:r>
        <w:rPr>
          <w:sz w:val="28"/>
          <w:szCs w:val="28"/>
          <w:highlight w:val="white"/>
        </w:rPr>
        <w:t xml:space="preserve"> коробки в п. Мичуринский. 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Всего в 2023 году по программе было освоено около 30 млн руб.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b/>
          <w:bCs/>
          <w:i/>
          <w:sz w:val="28"/>
          <w:szCs w:val="28"/>
        </w:rPr>
      </w:pPr>
      <w:r>
        <w:rPr>
          <w:b/>
          <w:i/>
          <w:sz w:val="28"/>
        </w:rPr>
        <w:t xml:space="preserve">5.6. Работа с общественностью и молодежная политика</w:t>
      </w:r>
      <w:r>
        <w:rPr>
          <w:b/>
          <w:bCs/>
          <w:i/>
          <w:sz w:val="28"/>
          <w:szCs w:val="28"/>
        </w:rPr>
      </w:r>
      <w:r>
        <w:rPr>
          <w:b/>
          <w:bCs/>
          <w:i/>
          <w:sz w:val="28"/>
          <w:szCs w:val="28"/>
        </w:rPr>
      </w:r>
    </w:p>
    <w:p>
      <w:pPr>
        <w:ind w:firstLine="709"/>
        <w:jc w:val="both"/>
        <w:rPr>
          <w:b/>
          <w:bCs/>
          <w:i/>
          <w:sz w:val="28"/>
          <w:szCs w:val="28"/>
        </w:rPr>
      </w:pPr>
      <w:r>
        <w:rPr>
          <w:b/>
          <w:bCs/>
          <w:i/>
          <w:sz w:val="28"/>
          <w:szCs w:val="28"/>
        </w:rPr>
      </w:r>
      <w:r>
        <w:rPr>
          <w:b/>
          <w:bCs/>
          <w:i/>
          <w:sz w:val="28"/>
          <w:szCs w:val="28"/>
        </w:rPr>
      </w:r>
      <w:r>
        <w:rPr>
          <w:b/>
          <w:bCs/>
          <w:i/>
          <w:sz w:val="28"/>
          <w:szCs w:val="28"/>
        </w:rPr>
      </w:r>
    </w:p>
    <w:p>
      <w:pPr>
        <w:ind w:firstLine="708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В 2023 году на поддержку общественных инициатив, в том числе на развитие ТОС на территории Новосибирского района было выделено 5,1 млн руб., (бюджет Новосибирского района и Министерства региональной политики НСО).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По состоянию на конец 2023 года на территории Новосибирского района насчитывается 38 </w:t>
      </w:r>
      <w:r>
        <w:rPr>
          <w:sz w:val="28"/>
          <w:szCs w:val="28"/>
          <w:highlight w:val="white"/>
        </w:rPr>
        <w:t xml:space="preserve">ТОСов</w:t>
      </w:r>
      <w:r>
        <w:rPr>
          <w:sz w:val="28"/>
          <w:szCs w:val="28"/>
          <w:highlight w:val="white"/>
        </w:rPr>
        <w:t xml:space="preserve"> (2022 год – 30 </w:t>
      </w:r>
      <w:r>
        <w:rPr>
          <w:sz w:val="28"/>
          <w:szCs w:val="28"/>
          <w:highlight w:val="white"/>
        </w:rPr>
        <w:t xml:space="preserve">ТОСа</w:t>
      </w:r>
      <w:r>
        <w:rPr>
          <w:sz w:val="28"/>
          <w:szCs w:val="28"/>
          <w:highlight w:val="white"/>
        </w:rPr>
        <w:t xml:space="preserve">), из них 19 - приняли участие в конкурсе на предоставление грантов для развития территориального общественного самоуправления. 15 ТОС стали победителями и получили финансирование на свои проекты от 180 до 250 </w:t>
      </w:r>
      <w:r>
        <w:rPr>
          <w:sz w:val="28"/>
          <w:szCs w:val="28"/>
          <w:highlight w:val="white"/>
        </w:rPr>
        <w:t xml:space="preserve">тыс.руб</w:t>
      </w:r>
      <w:r>
        <w:rPr>
          <w:sz w:val="28"/>
          <w:szCs w:val="28"/>
          <w:highlight w:val="white"/>
        </w:rPr>
        <w:t xml:space="preserve">. Самыми популярными и востребованными проектами были инфраструктурные – члены </w:t>
      </w:r>
      <w:r>
        <w:rPr>
          <w:sz w:val="28"/>
          <w:szCs w:val="28"/>
          <w:highlight w:val="white"/>
        </w:rPr>
        <w:t xml:space="preserve">ТОСов</w:t>
      </w:r>
      <w:r>
        <w:rPr>
          <w:sz w:val="28"/>
          <w:szCs w:val="28"/>
          <w:highlight w:val="white"/>
        </w:rPr>
        <w:t xml:space="preserve"> устанавливали детские и спортивные площадки, благоустраивали дворы и создавали общественные пространства.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8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Самыми интересными и массовыми оказались следующие мероприятия: 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- проект ТОС «</w:t>
      </w:r>
      <w:r>
        <w:rPr>
          <w:sz w:val="28"/>
          <w:szCs w:val="28"/>
          <w:highlight w:val="white"/>
        </w:rPr>
        <w:t xml:space="preserve">Малиновское</w:t>
      </w:r>
      <w:r>
        <w:rPr>
          <w:sz w:val="28"/>
          <w:szCs w:val="28"/>
          <w:highlight w:val="white"/>
        </w:rPr>
        <w:t xml:space="preserve">» Березовского сельсовета с проектом «Доступное детство» (благоустроена детская площадка, доступная для всех детей); 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- проект «Доступный спорт в Элитном» </w:t>
      </w:r>
      <w:r>
        <w:rPr>
          <w:sz w:val="28"/>
          <w:szCs w:val="28"/>
          <w:highlight w:val="white"/>
        </w:rPr>
        <w:t xml:space="preserve">ТОСа</w:t>
      </w:r>
      <w:r>
        <w:rPr>
          <w:sz w:val="28"/>
          <w:szCs w:val="28"/>
          <w:highlight w:val="white"/>
        </w:rPr>
        <w:t xml:space="preserve"> «Звездный» Мичуринского сельсовета (проведены работы по установке хоккейной формы, приобретена снегоуборочная техник</w:t>
      </w:r>
      <w:r>
        <w:rPr>
          <w:sz w:val="28"/>
          <w:szCs w:val="28"/>
        </w:rPr>
        <w:t xml:space="preserve">а);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Cs w:val="24"/>
          <w:highlight w:val="white"/>
        </w:rPr>
      </w:pPr>
      <w:r>
        <w:rPr>
          <w:sz w:val="28"/>
          <w:szCs w:val="28"/>
          <w:highlight w:val="white"/>
        </w:rPr>
        <w:t xml:space="preserve">- проект </w:t>
      </w:r>
      <w:r>
        <w:rPr>
          <w:sz w:val="28"/>
          <w:szCs w:val="28"/>
          <w:highlight w:val="white"/>
        </w:rPr>
        <w:t xml:space="preserve">ТОСа</w:t>
      </w:r>
      <w:r>
        <w:rPr>
          <w:sz w:val="28"/>
          <w:szCs w:val="28"/>
          <w:highlight w:val="white"/>
        </w:rPr>
        <w:t xml:space="preserve"> «Инициативный» Мичуринского сельсовета, под названием «Наш дом – наша крепость» (проведен ремонт многоквартирного дома, где были установлены новые окна и двери, организована массовая уборка территории дома).</w:t>
      </w:r>
      <w:r>
        <w:rPr>
          <w:szCs w:val="24"/>
          <w:highlight w:val="white"/>
        </w:rPr>
      </w:r>
      <w:r>
        <w:rPr>
          <w:szCs w:val="24"/>
          <w:highlight w:val="white"/>
        </w:rPr>
      </w:r>
    </w:p>
    <w:p>
      <w:pPr>
        <w:ind w:firstLine="708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Реализован проект «Герои среди нас», который проводился по </w:t>
      </w:r>
      <w:r>
        <w:rPr>
          <w:sz w:val="28"/>
          <w:szCs w:val="28"/>
          <w:highlight w:val="white"/>
        </w:rPr>
        <w:t xml:space="preserve">вопросу  патриотических</w:t>
      </w:r>
      <w:r>
        <w:rPr>
          <w:sz w:val="28"/>
          <w:szCs w:val="28"/>
          <w:highlight w:val="white"/>
        </w:rPr>
        <w:t xml:space="preserve"> и просветительских проектов в селе, направленный на воспитание подрастающего поколения в Новосибирском районе. Мероприятие заключалось в проведении обучающего блока, в который вошли лекции и практикумы по проектной культуре и патриотич</w:t>
      </w:r>
      <w:r>
        <w:rPr>
          <w:sz w:val="28"/>
          <w:szCs w:val="28"/>
          <w:highlight w:val="white"/>
        </w:rPr>
        <w:t xml:space="preserve">еской работе в населенных пунктах. Проводилась деятельность по музейной работе, где обучались наставники из представителей совета ветеранов, которые совместно с активными жителями населенных пунктов формируют банк данных для музея Новосибирского района (ув</w:t>
      </w:r>
      <w:r>
        <w:rPr>
          <w:sz w:val="28"/>
          <w:szCs w:val="28"/>
          <w:highlight w:val="white"/>
        </w:rPr>
        <w:t xml:space="preserve">ековечивание памяти героев ВОВ, локальных конфликтов, специальной военной операции по защите ДНР и ЛНР, а также героев труда Новосибирского района). Также важным, памятным и ярким событием стало открытие историко-краеведческого музея Новосибирского района.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8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Также, </w:t>
      </w:r>
      <w:r>
        <w:rPr>
          <w:sz w:val="28"/>
          <w:highlight w:val="white"/>
        </w:rPr>
        <w:t xml:space="preserve">проведен Конкурс «Лучший ТОС» среди органов территориального общественного самоуправления Новосибирского района Новосибирской области, </w:t>
      </w:r>
      <w:r>
        <w:rPr>
          <w:sz w:val="28"/>
          <w:szCs w:val="28"/>
          <w:highlight w:val="white"/>
        </w:rPr>
        <w:t xml:space="preserve">целью которого было выявление и поощрение лучших социально-значимых проектов и работ органов ТОС на территории муниципальных образований Новосибирского района. 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8"/>
        <w:jc w:val="both"/>
        <w:rPr>
          <w:sz w:val="28"/>
          <w:szCs w:val="28"/>
          <w:highlight w:val="white"/>
        </w:rPr>
      </w:pPr>
      <w:r>
        <w:rPr>
          <w:sz w:val="28"/>
          <w:highlight w:val="white"/>
        </w:rPr>
        <w:t xml:space="preserve">В рамках реализации муниципальной программы Новосибирского района «Поддержка социально ориентированных некоммерческих организаций на </w:t>
      </w:r>
      <w:r>
        <w:rPr>
          <w:sz w:val="28"/>
          <w:highlight w:val="white"/>
        </w:rPr>
        <w:br/>
        <w:t xml:space="preserve">2023 - 2025 годы»</w:t>
      </w:r>
      <w:r>
        <w:rPr>
          <w:sz w:val="28"/>
          <w:szCs w:val="28"/>
          <w:highlight w:val="white"/>
        </w:rPr>
        <w:t xml:space="preserve">, на поддержку социально ориентированных некоммерческих организаций в 2023 году на выделение грантов было предусмотрено 1 100 тыс. руб.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593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В конкурсе приняли участие и одержали победу 3 самых акт</w:t>
      </w:r>
      <w:r>
        <w:rPr>
          <w:sz w:val="28"/>
          <w:szCs w:val="28"/>
          <w:highlight w:val="white"/>
        </w:rPr>
        <w:t xml:space="preserve">ивных НКО Новосибирского района: общественная организация «Местная организация Новосибирского района Новосибирской Областной организации Всероссийского Общества инвалидов» - сумма гранта 180 тыс. руб., Новосибирская региональная Общественная организация Кл</w:t>
      </w:r>
      <w:r>
        <w:rPr>
          <w:sz w:val="28"/>
          <w:szCs w:val="28"/>
          <w:highlight w:val="white"/>
        </w:rPr>
        <w:t xml:space="preserve">уб Спортивных единоборств «Рекорд» – сумма гранта 450 тыс. рублей, районная общественная организация ветеранов-пенсионеров войны, труда, военной службы и правоохранительных органов Новосибирского района Новосибирской области – сумма гранта 470 тыс. рублей.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593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Районная общественная организация ветеранов-пенсионеров войны, труда, военной службы и правоохранительных органов Новосибирского района Новосибирской области состоит из 33 первичных ячеек и объединяет </w:t>
      </w:r>
      <w:r>
        <w:rPr>
          <w:sz w:val="28"/>
          <w:szCs w:val="28"/>
          <w:highlight w:val="white"/>
        </w:rPr>
        <w:t xml:space="preserve">более  17</w:t>
      </w:r>
      <w:r>
        <w:rPr>
          <w:sz w:val="28"/>
          <w:szCs w:val="28"/>
          <w:highlight w:val="white"/>
        </w:rPr>
        <w:t xml:space="preserve"> тыс. ветеранов (пенсионеров) состоящих на учете. В сентябре 2023 года организации исполнилось 40 лет.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59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отчетном году организацией </w:t>
      </w:r>
      <w:r>
        <w:rPr>
          <w:sz w:val="28"/>
          <w:szCs w:val="28"/>
          <w:highlight w:val="white"/>
        </w:rPr>
        <w:t xml:space="preserve">реализовано множество мероприятий: проведение мероприятия посвященного 40-летию районной ветеранской организации; собраны материалы и выпущен фильм о деятельности организации </w:t>
      </w:r>
      <w:r>
        <w:rPr>
          <w:sz w:val="28"/>
          <w:szCs w:val="28"/>
          <w:highlight w:val="white"/>
        </w:rPr>
        <w:t xml:space="preserve">«В ногу мы со вр</w:t>
      </w:r>
      <w:r>
        <w:rPr>
          <w:sz w:val="28"/>
          <w:szCs w:val="28"/>
          <w:highlight w:val="white"/>
        </w:rPr>
        <w:t xml:space="preserve">еменем идет»; изготовлены брошюры о лучших практиках работы первичных ветеранских организаций Новосибирского района «40 лет вместе»; был организован смотр-конкурс «Лучшая ветеранская организация»; проведен фестиваль хоровых коллективов ветеранов-пенсионеро</w:t>
      </w:r>
      <w:r>
        <w:rPr>
          <w:sz w:val="28"/>
          <w:szCs w:val="28"/>
          <w:highlight w:val="white"/>
        </w:rPr>
        <w:t xml:space="preserve">в; организованы поздравления участников ВОВ, боевых действий, ветеранов-блокадников (детей блокадного Ленинграда) ко Дню Победы; проведена летняя Спартакиада; а также одни из самых приятных моментов - это вручение множества подарков участникам мероприятий.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593"/>
        <w:jc w:val="both"/>
        <w:rPr>
          <w:highlight w:val="white"/>
        </w:rPr>
      </w:pPr>
      <w:r>
        <w:rPr>
          <w:sz w:val="28"/>
          <w:szCs w:val="28"/>
          <w:highlight w:val="white"/>
        </w:rPr>
        <w:t xml:space="preserve">Общественная организация «Местная организация Новосибирского района Новосибирской областной организации Всероссийского общества инвалидов» включает в себя 12 первичных ячеек и объединяет более 900 человек. В 2023 году команда ор</w:t>
      </w:r>
      <w:r>
        <w:rPr>
          <w:sz w:val="28"/>
          <w:szCs w:val="28"/>
          <w:highlight w:val="white"/>
        </w:rPr>
        <w:t xml:space="preserve">ганизации приняла участие в 15 спортивных мероприятиях областного уровня, где всегда занимала призовые места. По итогам летней спартакиады инвалидов команда Новосибирского района заняла 2 место, а по итогам зимней – 1 место, кубок Новосибирской области по </w:t>
      </w:r>
      <w:r>
        <w:rPr>
          <w:sz w:val="28"/>
          <w:szCs w:val="28"/>
          <w:highlight w:val="white"/>
        </w:rPr>
        <w:t xml:space="preserve">бочча</w:t>
      </w:r>
      <w:r>
        <w:rPr>
          <w:sz w:val="28"/>
          <w:szCs w:val="28"/>
          <w:highlight w:val="white"/>
        </w:rPr>
        <w:t xml:space="preserve">.</w:t>
      </w:r>
      <w:r>
        <w:rPr>
          <w:highlight w:val="white"/>
        </w:rPr>
        <w:t xml:space="preserve"> </w:t>
      </w:r>
      <w:r>
        <w:rPr>
          <w:sz w:val="28"/>
          <w:szCs w:val="28"/>
          <w:highlight w:val="white"/>
        </w:rPr>
        <w:t xml:space="preserve">Кроме того, О</w:t>
      </w:r>
      <w:r>
        <w:rPr>
          <w:sz w:val="28"/>
          <w:szCs w:val="28"/>
        </w:rPr>
        <w:t xml:space="preserve">бщественная организация в прошедшем году </w:t>
      </w:r>
      <w:r>
        <w:rPr>
          <w:sz w:val="28"/>
          <w:szCs w:val="28"/>
          <w:highlight w:val="white"/>
        </w:rPr>
        <w:t xml:space="preserve">презентовала сборник стихов поэтов-инвалидов Новосибирского района; была проведена интересная экскурсия на теплоходе по </w:t>
      </w:r>
      <w:r>
        <w:rPr>
          <w:sz w:val="28"/>
          <w:szCs w:val="28"/>
          <w:highlight w:val="white"/>
        </w:rPr>
        <w:t xml:space="preserve">р.Обь</w:t>
      </w:r>
      <w:r>
        <w:rPr>
          <w:sz w:val="28"/>
          <w:szCs w:val="28"/>
          <w:highlight w:val="white"/>
        </w:rPr>
        <w:t xml:space="preserve">; организовано и проведено торжественное мероприятие, посвященное 35-летию ООО «МОНР НОО ВОИ»; а провела также организован инклюзивный районный творческий фестиваль «Филантроп».</w:t>
      </w:r>
      <w:r>
        <w:rPr>
          <w:highlight w:val="white"/>
        </w:rPr>
      </w:r>
      <w:r>
        <w:rPr>
          <w:highlight w:val="white"/>
        </w:rPr>
      </w:r>
    </w:p>
    <w:p>
      <w:pPr>
        <w:ind w:firstLine="708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Новосибирской региональной Общественной организацией Клуб Спортивных единоборств «Рекорд» реализован спортивный проект под названием «Олимпийские резервы 2.0!», за счет средств которого была приобретена спортивная площадка, городок для </w:t>
      </w:r>
      <w:r>
        <w:rPr>
          <w:sz w:val="28"/>
          <w:szCs w:val="28"/>
          <w:highlight w:val="white"/>
        </w:rPr>
        <w:t xml:space="preserve">кроссфита</w:t>
      </w:r>
      <w:r>
        <w:rPr>
          <w:sz w:val="28"/>
          <w:szCs w:val="28"/>
          <w:highlight w:val="white"/>
        </w:rPr>
        <w:t xml:space="preserve">. Открытие спортивной площадки сопровождалось спортивными соревнованиями, после чего участники и победители мероприятия были награждены грамотами, медалями и кубками.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593"/>
        <w:jc w:val="both"/>
        <w:rPr>
          <w:sz w:val="28"/>
          <w:szCs w:val="28"/>
        </w:rPr>
      </w:pPr>
      <w:r>
        <w:rPr>
          <w:sz w:val="28"/>
          <w:szCs w:val="28"/>
          <w:highlight w:val="white"/>
        </w:rPr>
        <w:t xml:space="preserve">Районная и первичные ветеранские организации проводят работу совместно со школами, учреждениями культуры района, и эта совмест</w:t>
      </w:r>
      <w:r>
        <w:rPr>
          <w:sz w:val="28"/>
          <w:szCs w:val="28"/>
          <w:highlight w:val="white"/>
        </w:rPr>
        <w:t xml:space="preserve">ная работа дает ощутимые результаты. Все мероприятия приурочены к памятным датам и Дням воинской славы: Акции ко Дню Победы, поздравление ветеранов ВОВ, тружеников тыла, вдов участников ВОВ, блокадников и малолетних узников концлагерей 23 февраля и 9 мая.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593"/>
        <w:jc w:val="both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Проводятся конкурсы, в которых принимают участие по 100 и более ветеранов. Проводится работа с допризывной молодёжью, взаимодействие с военными комиссариатами по вопросам организации призыва в армию. Участие в работе с «трудными» подростками.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593"/>
        <w:jc w:val="both"/>
        <w:rPr>
          <w:sz w:val="28"/>
          <w:szCs w:val="28"/>
        </w:rPr>
      </w:pPr>
      <w:r>
        <w:rPr>
          <w:sz w:val="28"/>
          <w:szCs w:val="28"/>
          <w:highlight w:val="white"/>
        </w:rPr>
        <w:t xml:space="preserve">Проводится большая работ</w:t>
      </w:r>
      <w:r>
        <w:rPr>
          <w:sz w:val="28"/>
          <w:szCs w:val="28"/>
          <w:highlight w:val="white"/>
        </w:rPr>
        <w:t xml:space="preserve">а по вовлечению детей - инвалидов в жизнь общества посредством проведения инклюзивных спортивно-массовых и культурных мероприятий. Проведена акция «Теплые руки», где члены общества вязали теплые вещи для военнослужащих Вооруженных Сил Российской Федерации.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81"/>
        <w:ind w:firstLine="709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Новосибирский район является одним из самых молодежных районов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br/>
        <w:t xml:space="preserve">Новосибирской области. Здесь живут, работают и учатся около 26 тысяч молодых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br/>
        <w:t xml:space="preserve">людей в возрасте от 14 до 35 лет – более 18 % населения Новосибирского района.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br/>
        <w:t xml:space="preserve">Задачи и мероприятия в сфере молодежной политики изменяются в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br/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зависимости от актуальности тех или иных направлений, а также от запросов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br/>
        <w:t xml:space="preserve">самой молодежи. На 2023 год деятельность управления напр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авлена не точечно, а по различным направлениям и под каждое реализуются индивидуальные мероприятия. В целях реализации муниципальной программы из средств бюджета Новосибирского района было выделено средств на сумму 3 410 тыс.руб. из них на конец 2023 года 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реализованно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 3 363 тыс.руб. </w:t>
      </w:r>
      <w:r>
        <w:rPr>
          <w:rFonts w:ascii="Times New Roman" w:hAnsi="Times New Roman" w:cs="Times New Roman"/>
          <w:color w:val="000000"/>
          <w:shd w:val="clear" w:color="auto" w:fill="ffffff"/>
        </w:rPr>
      </w:r>
      <w:r>
        <w:rPr>
          <w:rFonts w:ascii="Times New Roman" w:hAnsi="Times New Roman" w:cs="Times New Roman"/>
          <w:color w:val="000000"/>
          <w:shd w:val="clear" w:color="auto" w:fill="ffffff"/>
        </w:rPr>
      </w:r>
    </w:p>
    <w:p>
      <w:pPr>
        <w:ind w:firstLine="709"/>
        <w:jc w:val="both"/>
      </w:pPr>
      <w:r>
        <w:rPr>
          <w:sz w:val="28"/>
        </w:rPr>
        <w:t xml:space="preserve">1. Создание условий для повышения привлекательности рабочих профессий, содействие профессиональному определению молодежи:</w:t>
      </w:r>
      <w:r/>
    </w:p>
    <w:p>
      <w:pPr>
        <w:ind w:firstLine="709"/>
        <w:jc w:val="both"/>
      </w:pPr>
      <w:r>
        <w:rPr>
          <w:sz w:val="28"/>
        </w:rPr>
        <w:t xml:space="preserve">- Межрайонный Кубок КВН среди команд работающей молодежи Новосибирской области – 200 тыс.руб.;</w:t>
      </w:r>
      <w:r/>
    </w:p>
    <w:p>
      <w:pPr>
        <w:ind w:firstLine="709"/>
        <w:jc w:val="both"/>
      </w:pPr>
      <w:r>
        <w:rPr>
          <w:sz w:val="28"/>
        </w:rPr>
        <w:t xml:space="preserve">- Медиа-проект </w:t>
      </w:r>
      <w:r>
        <w:rPr>
          <w:sz w:val="28"/>
          <w:shd w:val="clear" w:color="auto" w:fill="ffffff"/>
        </w:rPr>
        <w:t xml:space="preserve">«</w:t>
      </w:r>
      <w:r>
        <w:rPr>
          <w:sz w:val="28"/>
          <w:shd w:val="clear" w:color="auto" w:fill="ffffff"/>
        </w:rPr>
        <w:t xml:space="preserve">PROведу</w:t>
      </w:r>
      <w:r>
        <w:rPr>
          <w:sz w:val="28"/>
          <w:shd w:val="clear" w:color="auto" w:fill="ffffff"/>
        </w:rPr>
        <w:t xml:space="preserve">» </w:t>
      </w:r>
      <w:r>
        <w:rPr>
          <w:sz w:val="28"/>
        </w:rPr>
        <w:t xml:space="preserve">–</w:t>
      </w:r>
      <w:r>
        <w:rPr>
          <w:sz w:val="28"/>
          <w:shd w:val="clear" w:color="auto" w:fill="ffffff"/>
        </w:rPr>
        <w:t xml:space="preserve"> 200 тыс.руб</w:t>
      </w:r>
      <w:r>
        <w:rPr>
          <w:sz w:val="28"/>
        </w:rPr>
        <w:t xml:space="preserve">.</w:t>
      </w:r>
      <w:r/>
    </w:p>
    <w:p>
      <w:pPr>
        <w:ind w:firstLine="709"/>
        <w:jc w:val="both"/>
      </w:pPr>
      <w:r>
        <w:rPr>
          <w:sz w:val="28"/>
        </w:rPr>
        <w:t xml:space="preserve">2. Развитие социальной активности молодежи, вовлечение молодежи в социальную практику, воспитание гражданской ответственности, поддержка патриотического воспитания граждан, деятельности общественных организаций, объединений:</w:t>
      </w:r>
      <w:r/>
    </w:p>
    <w:p>
      <w:pPr>
        <w:ind w:firstLine="709"/>
        <w:jc w:val="both"/>
      </w:pPr>
      <w:r>
        <w:rPr>
          <w:sz w:val="28"/>
        </w:rPr>
        <w:t xml:space="preserve">- Школа подготовки </w:t>
      </w:r>
      <w:r>
        <w:rPr>
          <w:sz w:val="28"/>
        </w:rPr>
        <w:t xml:space="preserve">грантополучателей</w:t>
      </w:r>
      <w:r>
        <w:rPr>
          <w:sz w:val="28"/>
        </w:rPr>
        <w:t xml:space="preserve"> – 100 тыс.руб.;</w:t>
      </w:r>
      <w:r/>
    </w:p>
    <w:p>
      <w:pPr>
        <w:ind w:firstLine="709"/>
        <w:jc w:val="both"/>
      </w:pPr>
      <w:r>
        <w:rPr>
          <w:sz w:val="28"/>
        </w:rPr>
        <w:t xml:space="preserve">- Проведение мероприятий, приуроченных к памятным датам РФ и государственным праздникам – 70 тыс.руб.;</w:t>
      </w:r>
      <w:r/>
    </w:p>
    <w:p>
      <w:pPr>
        <w:ind w:firstLine="709"/>
        <w:jc w:val="both"/>
      </w:pPr>
      <w:r>
        <w:rPr>
          <w:sz w:val="28"/>
        </w:rPr>
        <w:t xml:space="preserve">- Районный этап Всероссийской военно-спортивной игры </w:t>
      </w:r>
      <w:r>
        <w:rPr>
          <w:sz w:val="28"/>
          <w:shd w:val="clear" w:color="auto" w:fill="ffffff"/>
        </w:rPr>
        <w:t xml:space="preserve">«Победа» </w:t>
      </w:r>
      <w:r>
        <w:rPr>
          <w:sz w:val="28"/>
        </w:rPr>
        <w:t xml:space="preserve">–</w:t>
      </w:r>
      <w:r>
        <w:rPr>
          <w:sz w:val="28"/>
          <w:shd w:val="clear" w:color="auto" w:fill="ffffff"/>
        </w:rPr>
        <w:t xml:space="preserve"> 200 тыс.</w:t>
      </w:r>
      <w:r>
        <w:rPr>
          <w:sz w:val="28"/>
        </w:rPr>
        <w:t xml:space="preserve">руб.;</w:t>
      </w:r>
      <w:r/>
    </w:p>
    <w:p>
      <w:pPr>
        <w:ind w:left="709"/>
        <w:jc w:val="both"/>
      </w:pPr>
      <w:r>
        <w:rPr>
          <w:sz w:val="28"/>
        </w:rPr>
        <w:t xml:space="preserve">- Проведение федерального проекта </w:t>
      </w:r>
      <w:r>
        <w:rPr>
          <w:sz w:val="28"/>
          <w:shd w:val="clear" w:color="auto" w:fill="ffffff"/>
        </w:rPr>
        <w:t xml:space="preserve">«</w:t>
      </w:r>
      <w:r>
        <w:rPr>
          <w:sz w:val="28"/>
        </w:rPr>
        <w:t xml:space="preserve">Диалог на равных</w:t>
      </w:r>
      <w:r>
        <w:rPr>
          <w:sz w:val="28"/>
          <w:shd w:val="clear" w:color="auto" w:fill="ffffff"/>
        </w:rPr>
        <w:t xml:space="preserve">» </w:t>
      </w:r>
      <w:r>
        <w:rPr>
          <w:sz w:val="28"/>
        </w:rPr>
        <w:t xml:space="preserve">–</w:t>
      </w:r>
      <w:r>
        <w:rPr>
          <w:sz w:val="28"/>
          <w:shd w:val="clear" w:color="auto" w:fill="ffffff"/>
        </w:rPr>
        <w:t xml:space="preserve"> 50 тыс.</w:t>
      </w:r>
      <w:r>
        <w:rPr>
          <w:sz w:val="28"/>
        </w:rPr>
        <w:t xml:space="preserve">руб.;</w:t>
      </w:r>
      <w:r/>
    </w:p>
    <w:p>
      <w:pPr>
        <w:ind w:firstLine="709"/>
        <w:jc w:val="both"/>
      </w:pPr>
      <w:r>
        <w:rPr>
          <w:sz w:val="28"/>
        </w:rPr>
        <w:t xml:space="preserve">- Проведение конкурса поддержки молодежных инициатив – 500 тыс.руб.</w:t>
      </w:r>
      <w:r/>
    </w:p>
    <w:p>
      <w:pPr>
        <w:ind w:firstLine="709"/>
        <w:jc w:val="both"/>
      </w:pPr>
      <w:r>
        <w:rPr>
          <w:sz w:val="28"/>
        </w:rPr>
        <w:t xml:space="preserve">3. Формирование у подростков и молодежи принципов здорового образа жизни, профилактика асоциальных явлений в молодежной среде, профилактика употребления наркотических и психотропных веществ.</w:t>
      </w:r>
      <w:r/>
    </w:p>
    <w:p>
      <w:pPr>
        <w:ind w:firstLine="709"/>
        <w:jc w:val="both"/>
      </w:pPr>
      <w:r>
        <w:rPr>
          <w:sz w:val="28"/>
        </w:rPr>
        <w:t xml:space="preserve">- Фестиваль здорового образа жизни </w:t>
      </w:r>
      <w:r>
        <w:rPr>
          <w:sz w:val="28"/>
          <w:shd w:val="clear" w:color="auto" w:fill="ffffff"/>
        </w:rPr>
        <w:t xml:space="preserve">«</w:t>
      </w:r>
      <w:r>
        <w:rPr>
          <w:sz w:val="28"/>
        </w:rPr>
        <w:t xml:space="preserve">ЗОЖ</w:t>
      </w:r>
      <w:r>
        <w:rPr>
          <w:sz w:val="28"/>
          <w:shd w:val="clear" w:color="auto" w:fill="ffffff"/>
        </w:rPr>
        <w:t xml:space="preserve">» </w:t>
      </w:r>
      <w:r>
        <w:rPr>
          <w:sz w:val="28"/>
        </w:rPr>
        <w:t xml:space="preserve">–</w:t>
      </w:r>
      <w:r>
        <w:rPr>
          <w:sz w:val="28"/>
          <w:shd w:val="clear" w:color="auto" w:fill="ffffff"/>
        </w:rPr>
        <w:t xml:space="preserve"> 308 тыс.</w:t>
      </w:r>
      <w:r>
        <w:rPr>
          <w:sz w:val="28"/>
        </w:rPr>
        <w:t xml:space="preserve">руб.;</w:t>
      </w:r>
      <w:r/>
    </w:p>
    <w:p>
      <w:pPr>
        <w:ind w:firstLine="709"/>
        <w:jc w:val="both"/>
      </w:pPr>
      <w:r>
        <w:rPr>
          <w:sz w:val="28"/>
        </w:rPr>
        <w:t xml:space="preserve">- Проведение мероприятия по профилактике наркомании и распространения ВИЧ-инфекции </w:t>
      </w:r>
      <w:r>
        <w:rPr>
          <w:sz w:val="28"/>
          <w:shd w:val="clear" w:color="auto" w:fill="ffffff"/>
        </w:rPr>
        <w:t xml:space="preserve">«</w:t>
      </w:r>
      <w:r>
        <w:rPr>
          <w:sz w:val="28"/>
        </w:rPr>
        <w:t xml:space="preserve">Атлас здорового образа жизни</w:t>
      </w:r>
      <w:r>
        <w:rPr>
          <w:sz w:val="28"/>
          <w:shd w:val="clear" w:color="auto" w:fill="ffffff"/>
        </w:rPr>
        <w:t xml:space="preserve">»</w:t>
      </w:r>
      <w:r>
        <w:rPr>
          <w:sz w:val="28"/>
        </w:rPr>
        <w:t xml:space="preserve"> – 95 тыс.руб.;</w:t>
      </w:r>
      <w:r/>
    </w:p>
    <w:p>
      <w:pPr>
        <w:ind w:firstLine="709"/>
        <w:jc w:val="both"/>
      </w:pPr>
      <w:r>
        <w:rPr>
          <w:sz w:val="28"/>
        </w:rPr>
        <w:t xml:space="preserve">- Проведение мероприятия по теме профилактики экстремизма, </w:t>
      </w:r>
      <w:r>
        <w:rPr>
          <w:sz w:val="28"/>
        </w:rPr>
        <w:t xml:space="preserve">радикализации</w:t>
      </w:r>
      <w:r>
        <w:rPr>
          <w:sz w:val="28"/>
        </w:rPr>
        <w:t xml:space="preserve"> и деструктивного информационно-психологического воздействия на </w:t>
      </w:r>
      <w:r>
        <w:rPr>
          <w:sz w:val="28"/>
        </w:rPr>
        <w:t xml:space="preserve">молодеж</w:t>
      </w:r>
      <w:r>
        <w:rPr>
          <w:sz w:val="28"/>
        </w:rPr>
        <w:t xml:space="preserve"> </w:t>
      </w:r>
      <w:r>
        <w:rPr>
          <w:sz w:val="28"/>
          <w:shd w:val="clear" w:color="auto" w:fill="ffffff"/>
        </w:rPr>
        <w:t xml:space="preserve">«</w:t>
      </w:r>
      <w:r>
        <w:rPr>
          <w:sz w:val="28"/>
        </w:rPr>
        <w:t xml:space="preserve">Голос юных – выбор молодых</w:t>
      </w:r>
      <w:r>
        <w:rPr>
          <w:sz w:val="28"/>
          <w:shd w:val="clear" w:color="auto" w:fill="ffffff"/>
        </w:rPr>
        <w:t xml:space="preserve">» </w:t>
      </w:r>
      <w:r>
        <w:rPr>
          <w:sz w:val="28"/>
        </w:rPr>
        <w:t xml:space="preserve">–</w:t>
      </w:r>
      <w:r>
        <w:rPr>
          <w:sz w:val="28"/>
          <w:shd w:val="clear" w:color="auto" w:fill="ffffff"/>
        </w:rPr>
        <w:t xml:space="preserve"> 95 тыс.</w:t>
      </w:r>
      <w:r>
        <w:rPr>
          <w:sz w:val="28"/>
        </w:rPr>
        <w:t xml:space="preserve">руб.;</w:t>
      </w:r>
      <w:r/>
    </w:p>
    <w:p>
      <w:pPr>
        <w:ind w:firstLine="709"/>
        <w:jc w:val="both"/>
      </w:pPr>
      <w:r>
        <w:rPr>
          <w:sz w:val="28"/>
        </w:rPr>
        <w:t xml:space="preserve">- Проведение туристического слета </w:t>
      </w:r>
      <w:r>
        <w:rPr>
          <w:sz w:val="28"/>
          <w:shd w:val="clear" w:color="auto" w:fill="ffffff"/>
        </w:rPr>
        <w:t xml:space="preserve">«</w:t>
      </w:r>
      <w:r>
        <w:rPr>
          <w:sz w:val="28"/>
        </w:rPr>
        <w:t xml:space="preserve">Сусанин там не был</w:t>
      </w:r>
      <w:r>
        <w:rPr>
          <w:sz w:val="28"/>
          <w:shd w:val="clear" w:color="auto" w:fill="ffffff"/>
        </w:rPr>
        <w:t xml:space="preserve">»</w:t>
      </w:r>
      <w:r>
        <w:rPr>
          <w:sz w:val="28"/>
        </w:rPr>
        <w:t xml:space="preserve"> – 200 тыс.руб.</w:t>
      </w:r>
      <w:r/>
    </w:p>
    <w:p>
      <w:pPr>
        <w:ind w:firstLine="709"/>
        <w:jc w:val="both"/>
      </w:pPr>
      <w:r>
        <w:rPr>
          <w:sz w:val="28"/>
        </w:rPr>
        <w:t xml:space="preserve">Также, </w:t>
      </w:r>
      <w:r>
        <w:rPr>
          <w:sz w:val="28"/>
          <w:shd w:val="clear" w:color="auto" w:fill="ffffff"/>
        </w:rPr>
        <w:t xml:space="preserve">в интернет ресурсах ведется информационная компания по</w:t>
      </w:r>
      <w:r>
        <w:rPr>
          <w:sz w:val="28"/>
          <w:shd w:val="clear" w:color="auto" w:fill="ffffff"/>
        </w:rPr>
        <w:br/>
        <w:t xml:space="preserve">пропаганде здорового образа жизни и профилактике негативных </w:t>
      </w:r>
      <w:r>
        <w:rPr>
          <w:sz w:val="28"/>
          <w:shd w:val="clear" w:color="auto" w:fill="ffffff"/>
        </w:rPr>
        <w:t xml:space="preserve">явлений</w:t>
      </w:r>
      <w:r>
        <w:rPr>
          <w:sz w:val="28"/>
          <w:shd w:val="clear" w:color="auto" w:fill="ffffff"/>
        </w:rPr>
        <w:br/>
        <w:t xml:space="preserve">(</w:t>
      </w:r>
      <w:r>
        <w:rPr>
          <w:sz w:val="28"/>
          <w:shd w:val="clear" w:color="auto" w:fill="ffffff"/>
        </w:rPr>
        <w:t xml:space="preserve">алкоголизм, </w:t>
      </w:r>
      <w:r>
        <w:rPr>
          <w:sz w:val="28"/>
          <w:shd w:val="clear" w:color="auto" w:fill="ffffff"/>
        </w:rPr>
        <w:t xml:space="preserve">табакокурение</w:t>
      </w:r>
      <w:r>
        <w:rPr>
          <w:sz w:val="28"/>
          <w:shd w:val="clear" w:color="auto" w:fill="ffffff"/>
        </w:rPr>
        <w:t xml:space="preserve">, наркомания, профилактика ВИЧ-инфекций).</w:t>
      </w:r>
      <w:r/>
    </w:p>
    <w:p>
      <w:pPr>
        <w:ind w:firstLine="709"/>
        <w:jc w:val="both"/>
      </w:pPr>
      <w:r>
        <w:rPr>
          <w:sz w:val="28"/>
        </w:rPr>
        <w:t xml:space="preserve">4. Создание благоприятных условий для молодых семей, с целью формирования ценностей семейной культуры и образа успешной молодой семьи, поддержки у молодых семей ответственного </w:t>
      </w:r>
      <w:r>
        <w:rPr>
          <w:sz w:val="28"/>
        </w:rPr>
        <w:t xml:space="preserve">родительства</w:t>
      </w:r>
      <w:r>
        <w:rPr>
          <w:sz w:val="28"/>
        </w:rPr>
        <w:t xml:space="preserve">.</w:t>
      </w:r>
      <w:r/>
    </w:p>
    <w:p>
      <w:pPr>
        <w:ind w:firstLine="709"/>
        <w:jc w:val="both"/>
      </w:pPr>
      <w:r>
        <w:rPr>
          <w:sz w:val="28"/>
        </w:rPr>
        <w:t xml:space="preserve">5. Формирование условий для развития в молодежной среде добровольчества и </w:t>
      </w:r>
      <w:r>
        <w:rPr>
          <w:sz w:val="28"/>
        </w:rPr>
        <w:t xml:space="preserve">волонтерства</w:t>
      </w:r>
      <w:r>
        <w:rPr>
          <w:sz w:val="28"/>
        </w:rPr>
        <w:t xml:space="preserve">.</w:t>
      </w:r>
      <w:r/>
    </w:p>
    <w:p>
      <w:pPr>
        <w:ind w:firstLine="709"/>
        <w:jc w:val="both"/>
      </w:pPr>
      <w:r>
        <w:rPr>
          <w:sz w:val="28"/>
        </w:rPr>
        <w:t xml:space="preserve">- Акция </w:t>
      </w:r>
      <w:r>
        <w:rPr>
          <w:sz w:val="28"/>
          <w:shd w:val="clear" w:color="auto" w:fill="ffffff"/>
        </w:rPr>
        <w:t xml:space="preserve">«</w:t>
      </w:r>
      <w:r>
        <w:rPr>
          <w:sz w:val="28"/>
        </w:rPr>
        <w:t xml:space="preserve">Снежный десант</w:t>
      </w:r>
      <w:r>
        <w:rPr>
          <w:sz w:val="28"/>
          <w:shd w:val="clear" w:color="auto" w:fill="ffffff"/>
        </w:rPr>
        <w:t xml:space="preserve">»</w:t>
      </w:r>
      <w:r>
        <w:rPr>
          <w:sz w:val="28"/>
        </w:rPr>
        <w:t xml:space="preserve"> – 200 тыс.руб.;</w:t>
      </w:r>
      <w:r/>
    </w:p>
    <w:p>
      <w:pPr>
        <w:ind w:firstLine="709"/>
        <w:jc w:val="both"/>
      </w:pPr>
      <w:r>
        <w:rPr>
          <w:sz w:val="28"/>
        </w:rPr>
        <w:t xml:space="preserve">- Проведение Открытого районного форума молодежи – 500 тыс.руб.</w:t>
      </w:r>
      <w:r/>
    </w:p>
    <w:p>
      <w:pPr>
        <w:ind w:firstLine="709"/>
        <w:jc w:val="both"/>
      </w:pPr>
      <w:r>
        <w:rPr>
          <w:sz w:val="28"/>
        </w:rPr>
        <w:t xml:space="preserve">6. Создание условий для развития творческого потенциала молодежи района.</w:t>
      </w:r>
      <w:r/>
    </w:p>
    <w:p>
      <w:pPr>
        <w:ind w:firstLine="709"/>
        <w:jc w:val="both"/>
      </w:pPr>
      <w:r>
        <w:rPr>
          <w:sz w:val="28"/>
        </w:rPr>
        <w:t xml:space="preserve">7. Стимулирование к повышению эффективности деятельности муниципальных образований района в сфере реализации молодежной политики.</w:t>
      </w:r>
      <w:r/>
    </w:p>
    <w:p>
      <w:pPr>
        <w:ind w:firstLine="709"/>
        <w:jc w:val="both"/>
      </w:pPr>
      <w:r>
        <w:rPr>
          <w:sz w:val="28"/>
        </w:rPr>
        <w:t xml:space="preserve">- Проведение районного этапа школьной лиги КВН </w:t>
      </w:r>
      <w:r>
        <w:rPr>
          <w:sz w:val="28"/>
          <w:shd w:val="clear" w:color="auto" w:fill="ffffff"/>
        </w:rPr>
        <w:t xml:space="preserve">«Весенний Кубок КВН Новосибирского района» </w:t>
      </w:r>
      <w:r>
        <w:rPr>
          <w:sz w:val="28"/>
        </w:rPr>
        <w:t xml:space="preserve">–</w:t>
      </w:r>
      <w:r>
        <w:rPr>
          <w:sz w:val="28"/>
          <w:shd w:val="clear" w:color="auto" w:fill="ffffff"/>
        </w:rPr>
        <w:t xml:space="preserve"> 150 тыс.</w:t>
      </w:r>
      <w:r>
        <w:rPr>
          <w:sz w:val="28"/>
        </w:rPr>
        <w:t xml:space="preserve">руб.</w:t>
      </w:r>
      <w:r>
        <w:rPr>
          <w:sz w:val="28"/>
          <w:shd w:val="clear" w:color="auto" w:fill="ffffff"/>
        </w:rPr>
        <w:t xml:space="preserve">;</w:t>
      </w:r>
      <w:r/>
    </w:p>
    <w:p>
      <w:pPr>
        <w:ind w:firstLine="709"/>
        <w:jc w:val="both"/>
      </w:pPr>
      <w:r>
        <w:rPr>
          <w:sz w:val="28"/>
          <w:shd w:val="clear" w:color="auto" w:fill="ffffff"/>
        </w:rPr>
        <w:t xml:space="preserve">- Проведение мониторинга реализации молодежной политики в муниципальных образованиях Новосибирского района Новосибирской области </w:t>
      </w:r>
      <w:r>
        <w:rPr>
          <w:sz w:val="28"/>
        </w:rPr>
        <w:t xml:space="preserve">–</w:t>
      </w:r>
      <w:r>
        <w:rPr>
          <w:sz w:val="28"/>
          <w:shd w:val="clear" w:color="auto" w:fill="ffffff"/>
        </w:rPr>
        <w:t xml:space="preserve"> 250 тыс.</w:t>
      </w:r>
      <w:r>
        <w:rPr>
          <w:sz w:val="28"/>
        </w:rPr>
        <w:t xml:space="preserve">руб</w:t>
      </w:r>
      <w:r>
        <w:rPr>
          <w:sz w:val="28"/>
          <w:shd w:val="clear" w:color="auto" w:fill="ffffff"/>
        </w:rPr>
        <w:t xml:space="preserve">.</w:t>
      </w:r>
      <w:r/>
    </w:p>
    <w:p>
      <w:pPr>
        <w:ind w:firstLine="709"/>
        <w:jc w:val="both"/>
      </w:pPr>
      <w:r>
        <w:rPr>
          <w:sz w:val="28"/>
        </w:rPr>
        <w:t xml:space="preserve">8. Развитие инфраструктуры молодежной политики на территории муниципальных образований района. </w:t>
      </w:r>
      <w:r/>
    </w:p>
    <w:p>
      <w:pPr>
        <w:ind w:firstLine="709"/>
        <w:jc w:val="both"/>
      </w:pPr>
      <w:r>
        <w:rPr>
          <w:sz w:val="28"/>
        </w:rPr>
        <w:t xml:space="preserve">- Районный инфраструктурный проект </w:t>
      </w:r>
      <w:r>
        <w:rPr>
          <w:sz w:val="28"/>
          <w:shd w:val="clear" w:color="auto" w:fill="ffffff"/>
        </w:rPr>
        <w:t xml:space="preserve">«Открытые пространства»</w:t>
      </w:r>
      <w:r>
        <w:rPr>
          <w:sz w:val="28"/>
        </w:rPr>
        <w:t xml:space="preserve"> – 245 тыс.руб.</w:t>
      </w:r>
      <w:r/>
    </w:p>
    <w:p>
      <w:pPr>
        <w:pStyle w:val="981"/>
        <w:ind w:firstLine="709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В Новосибирском районе работают 13 молодежных Советов, молодые люди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br/>
        <w:t xml:space="preserve">организуют акции и мероприятия по различным направлениям: здоровый образ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br/>
        <w:t xml:space="preserve">жизни, социальное и событийное добровольчество, 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благотворительность,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br/>
        <w:t xml:space="preserve">творчество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.</w:t>
      </w:r>
      <w:r>
        <w:rPr>
          <w:rFonts w:ascii="Times New Roman" w:hAnsi="Times New Roman" w:cs="Times New Roman"/>
          <w:color w:val="000000"/>
          <w:shd w:val="clear" w:color="auto" w:fill="ffffff"/>
        </w:rPr>
      </w:r>
      <w:r>
        <w:rPr>
          <w:rFonts w:ascii="Times New Roman" w:hAnsi="Times New Roman" w:cs="Times New Roman"/>
          <w:color w:val="000000"/>
          <w:shd w:val="clear" w:color="auto" w:fill="ffffff"/>
        </w:rPr>
      </w:r>
    </w:p>
    <w:p>
      <w:pPr>
        <w:pStyle w:val="981"/>
        <w:ind w:firstLine="709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Неотъемлемой частью молодежной политики является реализация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br/>
        <w:t xml:space="preserve">добровольческих проектов. Так, за последние пять лет добровольческая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br/>
        <w:t xml:space="preserve">деятельность получила широкую популярность среди молодежи Новосибирского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br/>
        <w:t xml:space="preserve">района. Основные направления развития добровольчества– 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событийное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br/>
        <w:t xml:space="preserve">(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организация мероприятий), социальное (помощь людям) и патриотическое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br/>
        <w:t xml:space="preserve">(волонтеры Победы). Количество молодых людей, принявших участие в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br/>
        <w:t xml:space="preserve">волонтерских проектах, увеличивается, к концу 2023 года показатель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br/>
        <w:t xml:space="preserve">вовлеченности молодежи в волонтерские проекты (в сравнении с 2020 годом) по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br/>
        <w:t xml:space="preserve">прогнозу увеличится более чем на 30%. 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Благополучателями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 добровольческой (волонтерской) деятельности на территории района являются более 8000 человек.</w:t>
      </w:r>
      <w:r>
        <w:rPr>
          <w:rFonts w:ascii="Times New Roman" w:hAnsi="Times New Roman" w:cs="Times New Roman"/>
          <w:color w:val="000000"/>
          <w:shd w:val="clear" w:color="auto" w:fill="ffffff"/>
        </w:rPr>
      </w:r>
      <w:r>
        <w:rPr>
          <w:rFonts w:ascii="Times New Roman" w:hAnsi="Times New Roman" w:cs="Times New Roman"/>
          <w:color w:val="000000"/>
          <w:shd w:val="clear" w:color="auto" w:fill="ffffff"/>
        </w:rPr>
      </w:r>
    </w:p>
    <w:p>
      <w:pPr>
        <w:pStyle w:val="981"/>
        <w:ind w:firstLine="709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Волонтеры Новосибирского района становились организаторами и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br/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соорганизаторами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 муниципальных мероприятий и акций, а также участниками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br/>
        <w:t xml:space="preserve">региональных проектов.</w:t>
      </w:r>
      <w:r>
        <w:rPr>
          <w:rFonts w:ascii="Times New Roman" w:hAnsi="Times New Roman" w:cs="Times New Roman"/>
          <w:color w:val="000000"/>
        </w:rPr>
      </w:r>
      <w:r>
        <w:rPr>
          <w:rFonts w:ascii="Times New Roman" w:hAnsi="Times New Roman" w:cs="Times New Roman"/>
          <w:color w:val="000000"/>
        </w:rPr>
      </w:r>
    </w:p>
    <w:p>
      <w:pPr>
        <w:pStyle w:val="981"/>
        <w:ind w:firstLine="709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По анализу реализации молодежной политики на территории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br/>
        <w:t xml:space="preserve">Новосибирского района в 2023 году необходимо отметить, что охват молодежи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br/>
        <w:t xml:space="preserve">ежегодно увеличивается. Общий охват молодежными мероприятиями на территории района в интернете и социальных сетях составляет более 12 000 человек. Что составляет 46% от общего количества молодежи района. </w:t>
      </w:r>
      <w:r>
        <w:rPr>
          <w:rFonts w:ascii="Times New Roman" w:hAnsi="Times New Roman" w:cs="Times New Roman"/>
          <w:color w:val="000000"/>
          <w:shd w:val="clear" w:color="auto" w:fill="ffffff"/>
        </w:rPr>
      </w:r>
      <w:r>
        <w:rPr>
          <w:rFonts w:ascii="Times New Roman" w:hAnsi="Times New Roman" w:cs="Times New Roman"/>
          <w:color w:val="000000"/>
          <w:shd w:val="clear" w:color="auto" w:fill="ffffff"/>
        </w:rPr>
      </w:r>
    </w:p>
    <w:p>
      <w:pPr>
        <w:pStyle w:val="981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Прогнозируется, что процент вовлеченности в 2024 году будет выше не менее чем на 5 процентных пунктов и составит не менее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br/>
        <w:t xml:space="preserve">50% от общего числа молодежи.</w:t>
      </w:r>
      <w:r>
        <w:rPr>
          <w:rFonts w:ascii="Times New Roman" w:hAnsi="Times New Roman" w:cs="Times New Roman"/>
          <w:color w:val="000000"/>
          <w:sz w:val="28"/>
          <w:szCs w:val="28"/>
        </w:rPr>
      </w:r>
      <w:r>
        <w:rPr>
          <w:rFonts w:ascii="Times New Roman" w:hAnsi="Times New Roman" w:cs="Times New Roman"/>
          <w:color w:val="000000"/>
          <w:sz w:val="28"/>
          <w:szCs w:val="28"/>
        </w:rPr>
      </w:r>
    </w:p>
    <w:p>
      <w:pPr>
        <w:pStyle w:val="981"/>
        <w:ind w:firstLine="709"/>
        <w:jc w:val="both"/>
        <w:rPr>
          <w:rFonts w:ascii="Times New Roman" w:hAnsi="Times New Roman" w:cs="Times New Roman"/>
          <w:color w:val="000000"/>
        </w:rPr>
      </w:pPr>
      <w:r>
        <w:t xml:space="preserve"> 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Новосибирский район в начале 2023 года, уже по сложившейся традиции, принял участие во всероссийской патриотической акции «Снежный десант - Новосибирск». Отряд «Снежного десанта» «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Асгард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» совместно со сформированными на местах трудовыми отрядами учащихся местных школ не только помогали с уборкой снега и оказывали помощь и поддержку ветеранам ВОВ, и пожилым, но и показывали подготовленную творческую программу.</w:t>
      </w:r>
      <w:r>
        <w:rPr>
          <w:rFonts w:ascii="Times New Roman" w:hAnsi="Times New Roman" w:cs="Times New Roman"/>
          <w:color w:val="000000"/>
        </w:rPr>
      </w:r>
      <w:r>
        <w:rPr>
          <w:rFonts w:ascii="Times New Roman" w:hAnsi="Times New Roman" w:cs="Times New Roman"/>
          <w:color w:val="000000"/>
        </w:rPr>
      </w:r>
    </w:p>
    <w:p>
      <w:pPr>
        <w:pStyle w:val="981"/>
        <w:ind w:firstLine="709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В рамках акции «Снежный десант» на территории Новосибирского района проводи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лась районная акция «Добро против снега». Молодые люди, собирались в добровольческие (волонтёрские) отряды, убирали территории своих муниципальных образований, осуществляли помощь пожилым людям и ветеранам ВОВ. Всего в акции приняли участие 9 сельсоветов: 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Плотниковский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Криводановский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Мочищенский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Кубовинский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, Морской, 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Раздольненский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Боровской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, Мичуринский и 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Берёзовский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.</w:t>
      </w:r>
      <w:r>
        <w:rPr>
          <w:rFonts w:ascii="Times New Roman" w:hAnsi="Times New Roman" w:cs="Times New Roman"/>
          <w:color w:val="000000"/>
        </w:rPr>
      </w:r>
      <w:r>
        <w:rPr>
          <w:rFonts w:ascii="Times New Roman" w:hAnsi="Times New Roman" w:cs="Times New Roman"/>
          <w:color w:val="000000"/>
        </w:rPr>
      </w:r>
    </w:p>
    <w:p>
      <w:pPr>
        <w:pStyle w:val="981"/>
        <w:ind w:firstLine="709"/>
        <w:jc w:val="both"/>
        <w:rPr>
          <w:rFonts w:ascii="Times New Roman" w:hAnsi="Times New Roman" w:cs="Times New Roman"/>
          <w:color w:val="000000"/>
          <w:highlight w:val="white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Неотъемлемой частью молодежной политики является реализация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br/>
        <w:t xml:space="preserve">добровольческих проектов. Так, за последние пять лет добровольческая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br/>
        <w:t xml:space="preserve">деятельность получила широкую популярность среди молодежи Новосибирского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br/>
        <w:t xml:space="preserve">района. Основные направления развития добровольчества– 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событийное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br/>
        <w:t xml:space="preserve">(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организация мероприятий), социальное (помощь людям) и патриотическое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br/>
        <w:t xml:space="preserve">(волонтеры Победы). Количество молодых людей, принявших участие в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br/>
        <w:t xml:space="preserve">волонтерских проектах, увеличивается, к концу 2023 года показатель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br/>
        <w:t xml:space="preserve">вовлеченности молодежи в волонтерские проекты (в сравнении с 2020 годом) по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br/>
        <w:t xml:space="preserve">прогнозу увеличится более чем на 30%. 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Благополучателями</w:t>
      </w:r>
      <w:r>
        <w:rPr>
          <w:rFonts w:ascii="Times New Roman" w:hAnsi="Times New Roman" w:cs="Times New Roman"/>
          <w:color w:val="000000"/>
          <w:sz w:val="28"/>
          <w:shd w:val="clear" w:color="auto" w:fill="ffffff"/>
        </w:rPr>
        <w:t xml:space="preserve"> добровольческой (волонтерской) деятельности на</w:t>
      </w:r>
      <w:r>
        <w:rPr>
          <w:rFonts w:ascii="Times New Roman" w:hAnsi="Times New Roman" w:cs="Times New Roman"/>
          <w:color w:val="000000"/>
          <w:sz w:val="28"/>
          <w:highlight w:val="white"/>
          <w:shd w:val="clear" w:color="auto" w:fill="ffffff"/>
        </w:rPr>
        <w:t xml:space="preserve"> территории района являются более 8000 человек.</w:t>
      </w:r>
      <w:r>
        <w:rPr>
          <w:rFonts w:ascii="Times New Roman" w:hAnsi="Times New Roman" w:cs="Times New Roman"/>
          <w:color w:val="000000"/>
          <w:highlight w:val="white"/>
          <w:shd w:val="clear" w:color="auto" w:fill="ffffff"/>
        </w:rPr>
      </w:r>
      <w:r>
        <w:rPr>
          <w:rFonts w:ascii="Times New Roman" w:hAnsi="Times New Roman" w:cs="Times New Roman"/>
          <w:color w:val="000000"/>
          <w:highlight w:val="white"/>
          <w:shd w:val="clear" w:color="auto" w:fill="ffffff"/>
        </w:rPr>
      </w:r>
    </w:p>
    <w:p>
      <w:pPr>
        <w:pStyle w:val="981"/>
        <w:ind w:firstLine="709"/>
        <w:jc w:val="both"/>
        <w:rPr>
          <w:rFonts w:ascii="Times New Roman" w:hAnsi="Times New Roman" w:cs="Times New Roman"/>
          <w:color w:val="000000"/>
          <w:highlight w:val="white"/>
        </w:rPr>
      </w:pPr>
      <w:r>
        <w:rPr>
          <w:rFonts w:ascii="Times New Roman" w:hAnsi="Times New Roman" w:cs="Times New Roman"/>
          <w:color w:val="000000"/>
          <w:sz w:val="28"/>
          <w:highlight w:val="white"/>
          <w:shd w:val="clear" w:color="auto" w:fill="ffffff"/>
        </w:rPr>
        <w:t xml:space="preserve">Волонтеры Новосибирского района регулярно оказывают </w:t>
      </w:r>
      <w:r>
        <w:rPr>
          <w:rFonts w:ascii="Times New Roman" w:hAnsi="Times New Roman" w:cs="Times New Roman"/>
          <w:color w:val="000000"/>
          <w:sz w:val="28"/>
          <w:highlight w:val="white"/>
          <w:shd w:val="clear" w:color="auto" w:fill="ffffff"/>
        </w:rPr>
        <w:t xml:space="preserve">помощь  в</w:t>
      </w:r>
      <w:r>
        <w:rPr>
          <w:rFonts w:ascii="Times New Roman" w:hAnsi="Times New Roman" w:cs="Times New Roman"/>
          <w:color w:val="000000"/>
          <w:sz w:val="28"/>
          <w:highlight w:val="white"/>
          <w:shd w:val="clear" w:color="auto" w:fill="ffffff"/>
        </w:rPr>
        <w:t xml:space="preserve"> организации и проведении муниципальных мероприятий и акций, а также становятся участниками региональных федеральных проектах.</w:t>
      </w:r>
      <w:r>
        <w:rPr>
          <w:rFonts w:ascii="Times New Roman" w:hAnsi="Times New Roman" w:cs="Times New Roman"/>
          <w:color w:val="000000"/>
          <w:highlight w:val="white"/>
        </w:rPr>
      </w:r>
      <w:r>
        <w:rPr>
          <w:rFonts w:ascii="Times New Roman" w:hAnsi="Times New Roman" w:cs="Times New Roman"/>
          <w:color w:val="000000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</w:pPr>
      <w:r>
        <w:rPr>
          <w:sz w:val="28"/>
          <w:highlight w:val="white"/>
        </w:rPr>
        <w:t xml:space="preserve">На территории Новосибирского района за 2023 год было проведено множество мероприятий, направленных на оказание помощи семьям и участникам </w:t>
      </w:r>
      <w:r>
        <w:rPr>
          <w:sz w:val="28"/>
          <w:highlight w:val="white"/>
        </w:rPr>
        <w:t xml:space="preserve">специальной военной операции. Помощь осуществляют все без исключения администрации муниципальных образований района, Советы депутатов, Совет ветеранов, Женсовет, Совет инвалидов, предприятия и образовательные учреждения, расположенные на территории района.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sz w:val="28"/>
          <w:szCs w:val="28"/>
          <w:highlight w:val="white"/>
        </w:rPr>
        <w:t xml:space="preserve">В течении года в районе совместно с организациями «Армия добра», «Народный фронт», «Союз отцов Новосибирской области», «Совет ветеранов» </w:t>
      </w:r>
      <w:r>
        <w:rPr>
          <w:sz w:val="28"/>
          <w:szCs w:val="28"/>
          <w:highlight w:val="white"/>
        </w:rPr>
        <w:t xml:space="preserve">муниципальных образований организован сбор и отправка грузов гуманитарной помощи. Всего было направлено более 15 000 посылок с товарами первой необходимости, средствами личной гигиены, спальными мешками, медикаментами, носками, обувью, тельняшками, продукт</w:t>
      </w:r>
      <w:r>
        <w:rPr>
          <w:sz w:val="28"/>
          <w:szCs w:val="28"/>
          <w:highlight w:val="white"/>
        </w:rPr>
        <w:t xml:space="preserve">ами питания, покрывалами, рациями, газовыми баллонами и горелками, отопительными генераторами, спутниковыми антеннами и лопатами. Осуществлялась также и отправка для госпиталей посылок с тёплым бельем и одеждой, покрывалами, полотенцами, постельным бельем.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sz w:val="28"/>
          <w:szCs w:val="28"/>
          <w:highlight w:val="white"/>
        </w:rPr>
        <w:t xml:space="preserve">Так, жителями, общественными организациями, предприятиями района в зону СВО направлены: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sz w:val="28"/>
          <w:szCs w:val="28"/>
          <w:highlight w:val="white"/>
        </w:rPr>
        <w:t xml:space="preserve">автомобиль </w:t>
      </w:r>
      <w:r>
        <w:rPr>
          <w:sz w:val="28"/>
          <w:szCs w:val="28"/>
          <w:highlight w:val="white"/>
        </w:rPr>
        <w:t xml:space="preserve">УАЗ,  </w:t>
      </w:r>
      <w:r>
        <w:rPr>
          <w:sz w:val="28"/>
          <w:szCs w:val="28"/>
          <w:highlight w:val="white"/>
        </w:rPr>
        <w:t xml:space="preserve">квадрокоптер</w:t>
      </w:r>
      <w:r>
        <w:rPr>
          <w:sz w:val="28"/>
          <w:szCs w:val="28"/>
          <w:highlight w:val="white"/>
        </w:rPr>
        <w:t xml:space="preserve">; 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sz w:val="28"/>
          <w:szCs w:val="28"/>
          <w:highlight w:val="white"/>
        </w:rPr>
        <w:t xml:space="preserve">бронежилеты, </w:t>
      </w:r>
      <w:r>
        <w:rPr>
          <w:sz w:val="28"/>
          <w:szCs w:val="28"/>
          <w:highlight w:val="white"/>
        </w:rPr>
        <w:t xml:space="preserve">тепловизионный</w:t>
      </w:r>
      <w:r>
        <w:rPr>
          <w:sz w:val="28"/>
          <w:szCs w:val="28"/>
          <w:highlight w:val="white"/>
        </w:rPr>
        <w:t xml:space="preserve"> прицел, </w:t>
      </w:r>
      <w:r>
        <w:rPr>
          <w:sz w:val="28"/>
          <w:szCs w:val="28"/>
          <w:highlight w:val="white"/>
        </w:rPr>
        <w:t xml:space="preserve">тепловизоры</w:t>
      </w:r>
      <w:r>
        <w:rPr>
          <w:sz w:val="28"/>
          <w:szCs w:val="28"/>
          <w:highlight w:val="white"/>
        </w:rPr>
        <w:t xml:space="preserve">, </w:t>
      </w:r>
      <w:r>
        <w:rPr>
          <w:sz w:val="28"/>
          <w:szCs w:val="28"/>
          <w:highlight w:val="white"/>
        </w:rPr>
        <w:t xml:space="preserve">бензогенераторы</w:t>
      </w:r>
      <w:r>
        <w:rPr>
          <w:sz w:val="28"/>
          <w:szCs w:val="28"/>
          <w:highlight w:val="white"/>
        </w:rPr>
        <w:t xml:space="preserve">, бензопила, топоры, бинокли – 10 шт., 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sz w:val="28"/>
          <w:szCs w:val="28"/>
          <w:highlight w:val="white"/>
        </w:rPr>
        <w:t xml:space="preserve">подушки, валики </w:t>
      </w:r>
      <w:r>
        <w:rPr>
          <w:sz w:val="28"/>
          <w:szCs w:val="28"/>
          <w:highlight w:val="white"/>
        </w:rPr>
        <w:t xml:space="preserve">синтепоновые</w:t>
      </w:r>
      <w:r>
        <w:rPr>
          <w:sz w:val="28"/>
          <w:szCs w:val="28"/>
          <w:highlight w:val="white"/>
        </w:rPr>
        <w:t xml:space="preserve"> – 200 шт., одежда, комплекты нательного белья, обувь, перчатки – 250 шт., медикаменты.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sz w:val="28"/>
          <w:szCs w:val="28"/>
          <w:highlight w:val="white"/>
        </w:rPr>
        <w:t xml:space="preserve">Также сделано и отправлено более 10 000 свечей двух видов, приобретен парафин более чем 5000 кг. Связано более 20 000 шт. носков и ковриков, сплетено более 3000 маскировочных сетей и маскировочных нашлемников более 1000 шт.</w:t>
      </w:r>
      <w:r>
        <w:rPr>
          <w:sz w:val="28"/>
          <w:szCs w:val="28"/>
          <w:highlight w:val="white"/>
        </w:rPr>
        <w:t xml:space="preserve">,  </w:t>
      </w:r>
      <w:r>
        <w:rPr>
          <w:sz w:val="28"/>
          <w:szCs w:val="28"/>
          <w:highlight w:val="white"/>
        </w:rPr>
        <w:t xml:space="preserve">паучковых</w:t>
      </w:r>
      <w:r>
        <w:rPr>
          <w:sz w:val="28"/>
          <w:szCs w:val="28"/>
          <w:highlight w:val="white"/>
        </w:rPr>
        <w:t xml:space="preserve"> заготовок для  сетей </w:t>
      </w:r>
      <w:r>
        <w:rPr>
          <w:sz w:val="28"/>
          <w:highlight w:val="white"/>
        </w:rPr>
        <w:t xml:space="preserve">–</w:t>
      </w:r>
      <w:r>
        <w:rPr>
          <w:sz w:val="28"/>
          <w:szCs w:val="28"/>
          <w:highlight w:val="white"/>
        </w:rPr>
        <w:t xml:space="preserve"> более 5000 шт. Изготовлено  более 10 000 штук гигиенических принадлежностей (сухой душ) и более 500 </w:t>
      </w:r>
      <w:r>
        <w:rPr>
          <w:sz w:val="28"/>
          <w:szCs w:val="28"/>
          <w:highlight w:val="white"/>
        </w:rPr>
        <w:t xml:space="preserve">шт</w:t>
      </w:r>
      <w:r>
        <w:rPr>
          <w:sz w:val="28"/>
          <w:szCs w:val="28"/>
          <w:highlight w:val="white"/>
        </w:rPr>
        <w:t xml:space="preserve"> туристических подушек, ленточных носилок. Заготовлены продукты для изготовления сухих </w:t>
      </w:r>
      <w:r>
        <w:rPr>
          <w:sz w:val="28"/>
          <w:szCs w:val="28"/>
          <w:highlight w:val="white"/>
        </w:rPr>
        <w:t xml:space="preserve">супов (переработано 3620 кг картофеля, моркови и свеклы – более 500 кг), засолено 520 кг капусты.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0" w:right="0" w:firstLine="709"/>
        <w:jc w:val="both"/>
        <w:rPr>
          <w:rFonts w:ascii="Times New Roman" w:hAnsi="Times New Roman" w:eastAsia="Times New Roman" w:cs="Times New Roman"/>
          <w:color w:val="000000"/>
          <w:sz w:val="28"/>
          <w:szCs w:val="28"/>
          <w:highlight w:val="yellow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highlight w:val="white"/>
        </w:rPr>
        <w:t xml:space="preserve">На помощь семьям и  участникам специальной военной операции жителями района, работниками муниципальных учреждений и предприятий  направлено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highlight w:val="white"/>
        </w:rPr>
        <w:t xml:space="preserve"> 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highlight w:val="white"/>
        </w:rPr>
        <w:t xml:space="preserve">более 30 000 тыс.руб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highlight w:val="white"/>
        </w:rPr>
        <w:t xml:space="preserve">.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highlight w:val="yellow"/>
          <w14:ligatures w14:val="none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highlight w:val="yellow"/>
          <w14:ligatures w14:val="none"/>
        </w:rPr>
      </w:r>
    </w:p>
    <w:p>
      <w:pPr>
        <w:ind w:firstLine="709"/>
        <w:jc w:val="both"/>
        <w:rPr>
          <w:sz w:val="28"/>
          <w:szCs w:val="28"/>
          <w:highlight w:val="whit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sz w:val="28"/>
          <w:szCs w:val="28"/>
          <w:highlight w:val="white"/>
        </w:rPr>
        <w:t xml:space="preserve">Учащимися образовательных организаций было проведено более 2500 отпра</w:t>
      </w:r>
      <w:r>
        <w:rPr>
          <w:sz w:val="28"/>
          <w:szCs w:val="28"/>
          <w:highlight w:val="white"/>
        </w:rPr>
        <w:t xml:space="preserve">вок писем и рисунков. Организован сбор гуманитарной помощи и отправки грузов. Перед новым годом были собраны новогодние украшения, письма, открытки и угощения для раненых бойцов, проходящих лечение и реабилитацию в одном из военных госпиталей Новосибирска.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sz w:val="28"/>
          <w:szCs w:val="28"/>
          <w:highlight w:val="white"/>
        </w:rPr>
        <w:t xml:space="preserve">Главами муниципальных образований района в течение года было проведено более 130 встреч с семьями и участниками СВО для оказ</w:t>
      </w:r>
      <w:r>
        <w:rPr>
          <w:sz w:val="28"/>
          <w:highlight w:val="white"/>
        </w:rPr>
        <w:t xml:space="preserve">ания помощи в решении возникающих проблем. 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rPr>
          <w:highlight w:val="whit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sz w:val="28"/>
          <w:highlight w:val="white"/>
        </w:rPr>
        <w:t xml:space="preserve">Для орга</w:t>
      </w:r>
      <w:r>
        <w:rPr>
          <w:sz w:val="28"/>
          <w:highlight w:val="white"/>
        </w:rPr>
        <w:t xml:space="preserve">низации досуга детей военнослужащих были приобретены билеты на цирковые представления. Организованы экскурсии для детей, проведены детские ёлки с подарками для детей участников СВО. Также, проводились психологические консультации для семей участников СВО. </w:t>
      </w:r>
      <w:r>
        <w:rPr>
          <w:highlight w:val="white"/>
        </w:rPr>
      </w:r>
      <w:r>
        <w:rPr>
          <w:highlight w:val="white"/>
        </w:rPr>
      </w:r>
    </w:p>
    <w:p>
      <w:pPr>
        <w:ind w:firstLine="709"/>
        <w:jc w:val="both"/>
        <w:rPr>
          <w:sz w:val="28"/>
          <w:szCs w:val="28"/>
          <w:highlight w:val="whit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sz w:val="28"/>
          <w:highlight w:val="white"/>
        </w:rPr>
        <w:t xml:space="preserve">Участникам специальной военной операции и членам их семей</w:t>
      </w:r>
      <w:r>
        <w:rPr>
          <w:sz w:val="28"/>
          <w:highlight w:val="white"/>
        </w:rPr>
        <w:t xml:space="preserve"> были предоставлены социальные услуги как уборка снега, организация вывоза снега с территории домовладений, в том числе и в районной акции «Добро против снега» (охвачено 17 семей). Оказание адресной помощи мобилизованным (более 500 обращений), обеспечение </w:t>
      </w:r>
      <w:r>
        <w:rPr>
          <w:sz w:val="28"/>
          <w:highlight w:val="white"/>
        </w:rPr>
        <w:t xml:space="preserve">семей</w:t>
      </w:r>
      <w:r>
        <w:rPr>
          <w:sz w:val="28"/>
          <w:highlight w:val="white"/>
        </w:rPr>
        <w:t xml:space="preserve"> мобилизованных дровами и углем (более 20 семей), помощь приобретения дров (более 20 семьи), вывоз снега (более 40 семей), оказание услуг ЖКХ (более 50 семей), такж</w:t>
      </w:r>
      <w:r>
        <w:rPr>
          <w:sz w:val="28"/>
          <w:highlight w:val="white"/>
        </w:rPr>
        <w:t xml:space="preserve">е оказана помощь в проведении центрального водоснабжения и отсыпки придомовой территории (10 семей). Проводилась работа по поиску мобилизованных. Ремонт кровли (1 семья). Было подключено к центральным сетям водоснабжения и септиков для сбора ЖБО - 5 семей.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593"/>
        <w:jc w:val="both"/>
        <w:rPr>
          <w:highlight w:val="white"/>
        </w:rPr>
      </w:pPr>
      <w:r>
        <w:rPr>
          <w:highlight w:val="white"/>
        </w:rPr>
      </w:r>
      <w:r>
        <w:rPr>
          <w:highlight w:val="white"/>
        </w:rPr>
      </w:r>
      <w:r>
        <w:rPr>
          <w:highlight w:val="white"/>
        </w:rPr>
      </w:r>
    </w:p>
    <w:p>
      <w:pPr>
        <w:ind w:firstLine="593"/>
        <w:jc w:val="both"/>
        <w:rPr>
          <w:b/>
          <w:bCs/>
          <w:i/>
          <w:sz w:val="28"/>
          <w:szCs w:val="28"/>
          <w:highlight w:val="white"/>
        </w:rPr>
      </w:pPr>
      <w:r>
        <w:rPr>
          <w:b/>
          <w:i/>
          <w:sz w:val="28"/>
          <w:highlight w:val="white"/>
        </w:rPr>
        <w:t xml:space="preserve">5.7. Социальная защита</w:t>
      </w:r>
      <w:r>
        <w:rPr>
          <w:b/>
          <w:bCs/>
          <w:i/>
          <w:sz w:val="28"/>
          <w:szCs w:val="28"/>
          <w:highlight w:val="white"/>
        </w:rPr>
      </w:r>
      <w:r>
        <w:rPr>
          <w:b/>
          <w:bCs/>
          <w:i/>
          <w:sz w:val="28"/>
          <w:szCs w:val="28"/>
          <w:highlight w:val="white"/>
        </w:rPr>
      </w:r>
    </w:p>
    <w:p>
      <w:pPr>
        <w:ind w:left="709"/>
        <w:jc w:val="both"/>
        <w:tabs>
          <w:tab w:val="left" w:pos="10206" w:leader="none"/>
        </w:tabs>
        <w:rPr>
          <w:b/>
          <w:bCs/>
          <w:i/>
          <w:sz w:val="28"/>
          <w:szCs w:val="28"/>
          <w:highlight w:val="white"/>
        </w:rPr>
        <w:outlineLvl w:val="1"/>
      </w:pPr>
      <w:r>
        <w:rPr>
          <w:b/>
          <w:bCs/>
          <w:i/>
          <w:sz w:val="28"/>
          <w:szCs w:val="28"/>
          <w:highlight w:val="white"/>
        </w:rPr>
      </w:r>
      <w:r>
        <w:rPr>
          <w:b/>
          <w:bCs/>
          <w:i/>
          <w:sz w:val="28"/>
          <w:szCs w:val="28"/>
          <w:highlight w:val="white"/>
        </w:rPr>
      </w:r>
      <w:r>
        <w:rPr>
          <w:b/>
          <w:bCs/>
          <w:i/>
          <w:sz w:val="28"/>
          <w:szCs w:val="28"/>
          <w:highlight w:val="white"/>
        </w:rPr>
      </w:r>
    </w:p>
    <w:p>
      <w:pPr>
        <w:ind w:firstLine="709"/>
        <w:jc w:val="both"/>
        <w:shd w:val="clear" w:color="ffffff" w:themeColor="background1" w:fill="ffffff" w:themeFill="background1"/>
        <w:rPr>
          <w:sz w:val="28"/>
          <w:highlight w:val="white"/>
        </w:rPr>
      </w:pPr>
      <w:r>
        <w:rPr>
          <w:sz w:val="28"/>
          <w:szCs w:val="28"/>
          <w:highlight w:val="white"/>
        </w:rPr>
        <w:t xml:space="preserve">Организацию социального обслуживания и обеспечение социальной поддержки отдельных категорий граждан на территории района осуществляет отдел социального обслуживания населения администрации Новосибирского района. 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9"/>
        <w:jc w:val="both"/>
        <w:shd w:val="clear" w:color="ffffff" w:themeColor="background1" w:fill="ffffff" w:themeFill="background1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За 2023 года специалистами отдела разработано 714 индивидуальных программы предоставления социальных услуг населени</w:t>
      </w:r>
      <w:r>
        <w:rPr>
          <w:sz w:val="28"/>
          <w:szCs w:val="28"/>
          <w:highlight w:val="white"/>
        </w:rPr>
        <w:t xml:space="preserve">ю района в полустационарных и стационарных учреждениях социального обслуживания; проведен пересмотр 237 программ, в связи с их окончанием, либо окончанием договора оказания социальных услуг, либо изменением перечня предоставляемых услуг (в 2022 г. – 327). 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shd w:val="clear" w:color="ffffff" w:themeColor="background1" w:fill="ffffff" w:themeFill="background1"/>
        <w:rPr>
          <w:sz w:val="23"/>
          <w:szCs w:val="23"/>
          <w:highlight w:val="white"/>
        </w:rPr>
      </w:pPr>
      <w:r>
        <w:rPr>
          <w:sz w:val="28"/>
          <w:szCs w:val="28"/>
          <w:highlight w:val="white"/>
        </w:rPr>
        <w:t xml:space="preserve">Непосредственное социальное обслуживание граждан Новосибирского района осуществляет муниципальное бю</w:t>
      </w:r>
      <w:r>
        <w:rPr>
          <w:sz w:val="28"/>
          <w:szCs w:val="28"/>
          <w:highlight w:val="white"/>
        </w:rPr>
        <w:t xml:space="preserve">джетное учреждение «Комплексный центр социального обслуживания населения «Добрыня» (далее – центр «Добрыня).</w:t>
      </w:r>
      <w:r>
        <w:rPr>
          <w:sz w:val="23"/>
          <w:szCs w:val="23"/>
          <w:highlight w:val="white"/>
        </w:rPr>
      </w:r>
      <w:r>
        <w:rPr>
          <w:sz w:val="23"/>
          <w:szCs w:val="23"/>
          <w:highlight w:val="white"/>
        </w:rPr>
      </w:r>
    </w:p>
    <w:p>
      <w:pPr>
        <w:ind w:firstLine="709"/>
        <w:jc w:val="both"/>
        <w:shd w:val="clear" w:color="ffffff" w:themeColor="background1" w:fill="ffffff" w:themeFill="background1"/>
        <w:rPr>
          <w:sz w:val="23"/>
          <w:szCs w:val="23"/>
          <w:highlight w:val="white"/>
        </w:rPr>
      </w:pPr>
      <w:r>
        <w:rPr>
          <w:sz w:val="28"/>
          <w:szCs w:val="28"/>
          <w:highlight w:val="white"/>
        </w:rPr>
        <w:t xml:space="preserve">Размер среднемесячной заработной платы работников центра «Добрыня» составляет 43 </w:t>
      </w:r>
      <w:r>
        <w:rPr>
          <w:sz w:val="28"/>
          <w:szCs w:val="28"/>
          <w:highlight w:val="white"/>
        </w:rPr>
        <w:t xml:space="preserve">980  рублей</w:t>
      </w:r>
      <w:r>
        <w:rPr>
          <w:sz w:val="28"/>
          <w:szCs w:val="28"/>
          <w:highlight w:val="white"/>
        </w:rPr>
        <w:t xml:space="preserve">. Среднесписочная численность работников составляет 111 человек.</w:t>
      </w:r>
      <w:r>
        <w:rPr>
          <w:sz w:val="23"/>
          <w:szCs w:val="23"/>
          <w:highlight w:val="white"/>
        </w:rPr>
      </w:r>
      <w:r>
        <w:rPr>
          <w:sz w:val="23"/>
          <w:szCs w:val="23"/>
          <w:highlight w:val="white"/>
        </w:rPr>
      </w:r>
    </w:p>
    <w:p>
      <w:pPr>
        <w:ind w:firstLine="709"/>
        <w:jc w:val="both"/>
        <w:shd w:val="clear" w:color="ffffff" w:themeColor="background1" w:fill="ffffff" w:themeFill="background1"/>
        <w:rPr>
          <w:color w:val="000000" w:themeColor="text1"/>
          <w:sz w:val="28"/>
          <w:szCs w:val="28"/>
          <w:highlight w:val="white"/>
          <w:shd w:val="clear" w:color="auto" w:fill="ffffff"/>
        </w:rPr>
      </w:pPr>
      <w:r>
        <w:rPr>
          <w:sz w:val="28"/>
          <w:szCs w:val="28"/>
          <w:highlight w:val="white"/>
        </w:rPr>
        <w:t xml:space="preserve">Работа центра «Добрыня» направлена на обеспечение социального обслуживания отдельных категорий граждан, создание системы д</w:t>
      </w:r>
      <w:r>
        <w:rPr>
          <w:sz w:val="28"/>
          <w:szCs w:val="28"/>
          <w:highlight w:val="white"/>
        </w:rPr>
        <w:t xml:space="preserve">олговременного ухода за гражданами пожилого возраста и инвалидами, оказание помощи семьям и отдельным гражданам, попавшим в трудную жизненную ситуацию, содействие в улучшении их социального и материального положения, а также психологического статуса и др. </w:t>
      </w:r>
      <w:r>
        <w:rPr>
          <w:color w:val="000000" w:themeColor="text1"/>
          <w:sz w:val="28"/>
          <w:szCs w:val="28"/>
          <w:highlight w:val="white"/>
          <w:shd w:val="clear" w:color="auto" w:fill="ffffff"/>
        </w:rPr>
      </w:r>
      <w:r>
        <w:rPr>
          <w:color w:val="000000" w:themeColor="text1"/>
          <w:sz w:val="28"/>
          <w:szCs w:val="28"/>
          <w:highlight w:val="white"/>
          <w:shd w:val="clear" w:color="auto" w:fill="ffffff"/>
        </w:rPr>
      </w:r>
    </w:p>
    <w:p>
      <w:pPr>
        <w:ind w:firstLine="709"/>
        <w:jc w:val="both"/>
        <w:shd w:val="clear" w:color="ffffff" w:themeColor="background1" w:fill="ffffff" w:themeFill="background1"/>
        <w:rPr>
          <w:sz w:val="23"/>
          <w:szCs w:val="23"/>
          <w:highlight w:val="white"/>
        </w:rPr>
      </w:pPr>
      <w:r>
        <w:rPr>
          <w:sz w:val="28"/>
          <w:szCs w:val="28"/>
          <w:highlight w:val="white"/>
        </w:rPr>
        <w:t xml:space="preserve">На территории района, во взаимодействии со службой занятости, успешно реализуются региональные проекты «Система долговременного ухода», «Старшее поколение» и федеральный проект «Социальный контракт</w:t>
      </w:r>
      <w:r>
        <w:rPr>
          <w:sz w:val="28"/>
          <w:szCs w:val="28"/>
          <w:highlight w:val="white"/>
        </w:rPr>
        <w:t xml:space="preserve">» .</w:t>
      </w:r>
      <w:r>
        <w:rPr>
          <w:sz w:val="23"/>
          <w:szCs w:val="23"/>
          <w:highlight w:val="white"/>
        </w:rPr>
      </w:r>
      <w:r>
        <w:rPr>
          <w:sz w:val="23"/>
          <w:szCs w:val="23"/>
          <w:highlight w:val="white"/>
        </w:rPr>
      </w:r>
    </w:p>
    <w:p>
      <w:pPr>
        <w:ind w:firstLine="709"/>
        <w:jc w:val="both"/>
        <w:shd w:val="clear" w:color="ffffff" w:themeColor="background1" w:fill="ffffff" w:themeFill="background1"/>
        <w:rPr>
          <w:sz w:val="23"/>
          <w:szCs w:val="23"/>
          <w:highlight w:val="white"/>
        </w:rPr>
      </w:pPr>
      <w:r>
        <w:rPr>
          <w:sz w:val="28"/>
          <w:szCs w:val="28"/>
          <w:highlight w:val="white"/>
        </w:rPr>
        <w:t xml:space="preserve">В результате реализации проекта «Старшее поколение» в 2023 году продолжила работу «служб</w:t>
      </w:r>
      <w:r>
        <w:rPr>
          <w:sz w:val="28"/>
          <w:szCs w:val="28"/>
          <w:highlight w:val="white"/>
        </w:rPr>
        <w:t xml:space="preserve">а сиделок» (помощников по уходу) на дому для граждан пожилого возраста, утративших способность к самообслуживанию и нуждающихся в постоянном постороннем уходе – по итогам определения уровня нуждаемости в уходе обслужено 28 человек, оказано 86,4 тыс. услуг.</w:t>
      </w:r>
      <w:r>
        <w:rPr>
          <w:sz w:val="23"/>
          <w:szCs w:val="23"/>
          <w:highlight w:val="white"/>
        </w:rPr>
      </w:r>
      <w:r>
        <w:rPr>
          <w:sz w:val="23"/>
          <w:szCs w:val="23"/>
          <w:highlight w:val="white"/>
        </w:rPr>
      </w:r>
    </w:p>
    <w:p>
      <w:pPr>
        <w:ind w:firstLine="709"/>
        <w:jc w:val="both"/>
        <w:shd w:val="clear" w:color="ffffff" w:themeColor="background1" w:fill="ffffff" w:themeFill="background1"/>
        <w:rPr>
          <w:highlight w:val="white"/>
        </w:rPr>
      </w:pPr>
      <w:r>
        <w:rPr>
          <w:sz w:val="28"/>
          <w:szCs w:val="28"/>
          <w:highlight w:val="white"/>
        </w:rPr>
        <w:t xml:space="preserve">Межбюджетные трансферты Новосибирского района Новосибирской области составили 7 372,4 тыс. руб. (2022 год - 6 657 тыс. руб.).</w:t>
      </w:r>
      <w:r>
        <w:rPr>
          <w:highlight w:val="white"/>
        </w:rPr>
      </w:r>
      <w:r>
        <w:rPr>
          <w:highlight w:val="white"/>
        </w:rPr>
      </w:r>
    </w:p>
    <w:p>
      <w:pPr>
        <w:ind w:firstLine="709"/>
        <w:jc w:val="both"/>
        <w:shd w:val="clear" w:color="ffffff" w:themeColor="background1" w:fill="ffffff" w:themeFill="background1"/>
        <w:rPr>
          <w:highlight w:val="white"/>
        </w:rPr>
      </w:pPr>
      <w:r>
        <w:rPr>
          <w:sz w:val="28"/>
          <w:szCs w:val="28"/>
          <w:highlight w:val="white"/>
        </w:rPr>
        <w:t xml:space="preserve">Выездной мобильной бригадой осуществлялась доставка маломобильных и по</w:t>
      </w:r>
      <w:r>
        <w:rPr>
          <w:sz w:val="28"/>
          <w:szCs w:val="28"/>
          <w:highlight w:val="white"/>
        </w:rPr>
        <w:t xml:space="preserve">жилых граждан для прохождения диспансеризации и вакцинации, а также медицинских работников, в целях оказания медицинской помощи на дому, указанной категории граждан. С начала 2023 года услуги предоставлены 230 гражданам, проживающим в Новосибирском районе.</w:t>
      </w:r>
      <w:r>
        <w:rPr>
          <w:sz w:val="28"/>
          <w:szCs w:val="28"/>
          <w:highlight w:val="white"/>
        </w:rPr>
        <w:tab/>
      </w:r>
      <w:r>
        <w:rPr>
          <w:highlight w:val="white"/>
        </w:rPr>
      </w:r>
      <w:r>
        <w:rPr>
          <w:highlight w:val="white"/>
        </w:rPr>
      </w:r>
    </w:p>
    <w:p>
      <w:pPr>
        <w:ind w:firstLine="709"/>
        <w:jc w:val="both"/>
        <w:shd w:val="clear" w:color="ffffff" w:themeColor="background1" w:fill="ffffff" w:themeFill="background1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Продолжила работу «Школа неформального родственного ухода за гражданами пожилого возраста и инвалидами», её услугами в 2023 году воспользовались 102 человека.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shd w:val="clear" w:color="ffffff" w:themeColor="background1" w:fill="ffffff" w:themeFill="background1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С октября 2020 года работает пункт проката технических средств реабилитации, выдаваемых отдельным категориям граждан безвозмездно во временное пользование. С начала </w:t>
      </w:r>
      <w:r>
        <w:rPr>
          <w:sz w:val="28"/>
          <w:szCs w:val="28"/>
          <w:highlight w:val="white"/>
        </w:rPr>
        <w:t xml:space="preserve">2023 года выдано 262 единицы технических средств реабилитации, приобретенных за счет средств федерального бюджета и 18 единиц технических средств реабилитации, приобретенных за счет средств местного бюджета.  За 2022 год – 103 ТСР и 47 ТСР, соответственно.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shd w:val="clear" w:color="ffffff" w:themeColor="background1" w:fill="ffffff" w:themeFill="background1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В целях мотивации на заключение социальных контрактов по трудоустройству и развитию личного подсобного хозяйства на консультацию в ГКУ НСО «Центр социальной поддержки населения Новосибирского района» было направлено 97 граждан, в 2022 году - 115. 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shd w:val="clear" w:color="ffffff" w:themeColor="background1" w:fill="ffffff" w:themeFill="background1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С начала 2023 год</w:t>
      </w:r>
      <w:r>
        <w:rPr>
          <w:sz w:val="28"/>
          <w:szCs w:val="28"/>
          <w:highlight w:val="white"/>
        </w:rPr>
        <w:t xml:space="preserve">а специалисты отделения профилактики безнадзорности несовершеннолетних провели работу с 71 асоциальной семьей (2022 год – 59) и 537 семьями (2022 год – 486), испытывающими трудности в социальной адаптации, помогая им преодолеть трудную жизненную ситуацию. 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shd w:val="clear" w:color="ffffff" w:themeColor="background1" w:fill="ffffff" w:themeFill="background1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Выездная мобильная бригада осуществляет работу с сем</w:t>
      </w:r>
      <w:r>
        <w:rPr>
          <w:sz w:val="28"/>
          <w:szCs w:val="28"/>
          <w:highlight w:val="white"/>
        </w:rPr>
        <w:t xml:space="preserve">ьями на территории муниципальных образований, обеспечивая шаговую доступность услуг. В 2023 году проведено 346 выездов, что на 16,5 % или на 49 выездов больше в сравнении с 2022 годом, услугами охвачены 2 217 граждан, что на 10,2 % больше, чем в 2022 году.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shd w:val="clear" w:color="ffffff" w:themeColor="background1" w:fill="ffffff" w:themeFill="background1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Оказана помощь 610 гражданам пожилого возраста, нуждающимся в постороннем уходе на дому, это </w:t>
      </w:r>
      <w:r>
        <w:rPr>
          <w:sz w:val="28"/>
          <w:szCs w:val="28"/>
          <w:highlight w:val="white"/>
        </w:rPr>
        <w:t xml:space="preserve">на  4</w:t>
      </w:r>
      <w:r>
        <w:rPr>
          <w:sz w:val="28"/>
          <w:szCs w:val="28"/>
          <w:highlight w:val="white"/>
        </w:rPr>
        <w:t xml:space="preserve"> человека меньше в сравнении с  2022 года; </w:t>
      </w:r>
      <w:r>
        <w:rPr>
          <w:sz w:val="28"/>
          <w:szCs w:val="28"/>
          <w:highlight w:val="white"/>
        </w:rPr>
        <w:t xml:space="preserve">предоставлено 251 853 услуги, что на 2,1 %, или на 5 205 услуг больше, чем в  2022 года. 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shd w:val="clear" w:color="ffffff" w:themeColor="background1" w:fill="ffffff" w:themeFill="background1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  <w:lang w:bidi="he-IL"/>
        </w:rPr>
        <w:t xml:space="preserve">В отделении социальной реабилитации оказана помощь </w:t>
      </w:r>
      <w:r>
        <w:rPr>
          <w:sz w:val="28"/>
          <w:szCs w:val="28"/>
          <w:highlight w:val="white"/>
        </w:rPr>
        <w:t xml:space="preserve">268 инвалидам общего заболевания, 336 детям-инвалидам, 316 родителям детей-инвалидов, это превышает показатели 2022 года на 11,6 % (96 человек), </w:t>
      </w:r>
      <w:r>
        <w:rPr>
          <w:sz w:val="28"/>
          <w:szCs w:val="28"/>
          <w:highlight w:val="white"/>
        </w:rPr>
        <w:t xml:space="preserve">оказана  7</w:t>
      </w:r>
      <w:r>
        <w:rPr>
          <w:sz w:val="28"/>
          <w:szCs w:val="28"/>
          <w:highlight w:val="white"/>
        </w:rPr>
        <w:t xml:space="preserve"> 361 услуга, что больше на 1  % (74 услуги) в сравнении с 2022 годом.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shd w:val="clear" w:color="ffffff" w:themeColor="background1" w:fill="ffffff" w:themeFill="background1"/>
        <w:rPr>
          <w:sz w:val="28"/>
          <w:szCs w:val="28"/>
          <w:highlight w:val="white"/>
          <w:shd w:val="clear" w:color="auto" w:fill="ffffff"/>
        </w:rPr>
      </w:pPr>
      <w:r>
        <w:rPr>
          <w:sz w:val="28"/>
          <w:szCs w:val="28"/>
          <w:highlight w:val="white"/>
        </w:rPr>
        <w:t xml:space="preserve">Гражданам Новосибирского района, нуждающимся в социальной и материальной поддержке, семьям с детьми, оказывается адресная материальная помощь в виде денежных средств. </w:t>
      </w:r>
      <w:r>
        <w:rPr>
          <w:sz w:val="28"/>
          <w:szCs w:val="28"/>
          <w:highlight w:val="white"/>
          <w:shd w:val="clear" w:color="auto" w:fill="ffffff"/>
        </w:rPr>
      </w:r>
      <w:r>
        <w:rPr>
          <w:sz w:val="28"/>
          <w:szCs w:val="28"/>
          <w:highlight w:val="white"/>
          <w:shd w:val="clear" w:color="auto" w:fill="ffffff"/>
        </w:rPr>
      </w:r>
    </w:p>
    <w:p>
      <w:pPr>
        <w:ind w:firstLine="709"/>
        <w:jc w:val="both"/>
        <w:shd w:val="clear" w:color="ffffff" w:themeColor="background1" w:fill="ffffff" w:themeFill="background1"/>
        <w:rPr>
          <w:sz w:val="28"/>
          <w:highlight w:val="white"/>
        </w:rPr>
      </w:pPr>
      <w:r>
        <w:rPr>
          <w:sz w:val="28"/>
          <w:szCs w:val="28"/>
          <w:highlight w:val="white"/>
        </w:rPr>
        <w:t xml:space="preserve">За счет средств бюджета Новосибирского района </w:t>
      </w:r>
      <w:r>
        <w:rPr>
          <w:sz w:val="28"/>
          <w:szCs w:val="28"/>
          <w:highlight w:val="white"/>
        </w:rPr>
        <w:t xml:space="preserve">с начала 2023 года оказана адресная материальная помощь в виде денежных средств 652 семьям (1 871 чел.), на сумму 7,9 млн руб. Сумма выплат социальной помощи на 1 получателя из районного бюджета составила 4 222,3 руб., что на 54,2 % больше чем в 2022 году.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9"/>
        <w:jc w:val="both"/>
        <w:shd w:val="clear" w:color="ffffff" w:themeColor="background1" w:fill="ffffff" w:themeFill="background1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С начала 2023 года специалистами центра обслужено 6 210 граждан (2022 год - 6207 граждан) Новосибирского района, семью отделениями оказано 360 602 услуги, что </w:t>
      </w:r>
      <w:r>
        <w:rPr>
          <w:sz w:val="28"/>
          <w:szCs w:val="28"/>
          <w:highlight w:val="white"/>
        </w:rPr>
        <w:t xml:space="preserve">на  2</w:t>
      </w:r>
      <w:r>
        <w:rPr>
          <w:sz w:val="28"/>
          <w:szCs w:val="28"/>
          <w:highlight w:val="white"/>
        </w:rPr>
        <w:t xml:space="preserve">,8 % больше в с 2022 года.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shd w:val="clear" w:color="ffffff" w:themeColor="background1" w:fill="ffffff" w:themeFill="background1"/>
        <w:rPr>
          <w:sz w:val="28"/>
          <w:highlight w:val="white"/>
        </w:rPr>
      </w:pPr>
      <w:r>
        <w:rPr>
          <w:sz w:val="28"/>
          <w:szCs w:val="28"/>
          <w:highlight w:val="white"/>
        </w:rPr>
        <w:t xml:space="preserve">Численность малоимущих граждан, зарегистрированных в органах социальной защиты в 2023 году составляет 1169 человек (в 2022 году – 1414 чел.), или 0,7 % от общего числа населения, проживающего в Новосибирском районе, снижение на 245 человека.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9"/>
        <w:jc w:val="both"/>
        <w:shd w:val="clear" w:color="ffffff" w:themeColor="background1" w:fill="ffffff" w:themeFill="background1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Граждан, нуждающихся в помещении на постоянное проживание в стационарное учреждение, состоящих в очереди, нет.  За 2023 год в стационарные учреждения социального обслуживания (для постоянного проживания) оформлены 69 человек.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shd w:val="clear" w:color="ffffff" w:themeColor="background1" w:fill="ffffff" w:themeFill="background1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1 июня 2023 года семья, с 8 детьми, получила награду и единовременное денежное вознаграждение из федерального бюджета 500 </w:t>
      </w:r>
      <w:r>
        <w:rPr>
          <w:sz w:val="28"/>
          <w:szCs w:val="28"/>
          <w:highlight w:val="white"/>
        </w:rPr>
        <w:t xml:space="preserve">тыс.руб</w:t>
      </w:r>
      <w:r>
        <w:rPr>
          <w:sz w:val="28"/>
          <w:szCs w:val="28"/>
          <w:highlight w:val="white"/>
        </w:rPr>
        <w:t xml:space="preserve">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shd w:val="clear" w:color="ffffff" w:themeColor="background1" w:fill="ffffff" w:themeFill="background1"/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В рамках Государственной программы Новосибирской области «Развитие системы социальной поддержк</w:t>
      </w:r>
      <w:r>
        <w:rPr>
          <w:sz w:val="28"/>
          <w:szCs w:val="28"/>
          <w:highlight w:val="white"/>
        </w:rPr>
        <w:t xml:space="preserve">и населения и улучшение социального положения семей с детьми в Новосибирской области» в 2023 году 16 ветеранам Великой Отечественной войны из областного бюджета выделена единовременная денежная выплата на улучшение социально-бытовых условий на сумму 790,4 </w:t>
      </w:r>
      <w:r>
        <w:rPr>
          <w:sz w:val="28"/>
          <w:szCs w:val="28"/>
          <w:highlight w:val="white"/>
        </w:rPr>
        <w:t xml:space="preserve">тыс.руб</w:t>
      </w:r>
      <w:r>
        <w:rPr>
          <w:sz w:val="28"/>
          <w:szCs w:val="28"/>
          <w:highlight w:val="white"/>
        </w:rPr>
        <w:t xml:space="preserve">. В декабре 2023 года еще 7 ветеранов ВОВ получат ЕДВ на сумму 345,8 </w:t>
      </w:r>
      <w:r>
        <w:rPr>
          <w:sz w:val="28"/>
          <w:szCs w:val="28"/>
          <w:highlight w:val="white"/>
        </w:rPr>
        <w:t xml:space="preserve">тыс.р</w:t>
      </w:r>
      <w:r>
        <w:rPr>
          <w:sz w:val="28"/>
          <w:szCs w:val="28"/>
          <w:highlight w:val="white"/>
        </w:rPr>
        <w:t xml:space="preserve">.  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shd w:val="clear" w:color="ffffff" w:themeColor="background1" w:fill="ffffff" w:themeFill="background1"/>
        <w:rPr>
          <w:color w:val="000000" w:themeColor="text1"/>
          <w:spacing w:val="4"/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Для организации отдыха и оздоровления детей Новосибирского района в летний период за счет средств районного бюджета (4,5 млн руб.) отделом приобретены и реализованы 253 путевки.</w:t>
      </w:r>
      <w:r>
        <w:rPr>
          <w:color w:val="000000" w:themeColor="text1"/>
          <w:spacing w:val="4"/>
          <w:sz w:val="28"/>
          <w:szCs w:val="28"/>
          <w:highlight w:val="white"/>
        </w:rPr>
      </w:r>
      <w:r>
        <w:rPr>
          <w:color w:val="000000" w:themeColor="text1"/>
          <w:spacing w:val="4"/>
          <w:sz w:val="28"/>
          <w:szCs w:val="28"/>
          <w:highlight w:val="white"/>
        </w:rPr>
      </w:r>
    </w:p>
    <w:p>
      <w:pPr>
        <w:ind w:firstLine="709"/>
        <w:jc w:val="both"/>
        <w:shd w:val="clear" w:color="ffffff" w:themeColor="background1" w:fill="ffffff" w:themeFill="background1"/>
        <w:rPr>
          <w:spacing w:val="4"/>
          <w:sz w:val="28"/>
          <w:highlight w:val="white"/>
        </w:rPr>
      </w:pPr>
      <w:r>
        <w:rPr>
          <w:sz w:val="28"/>
          <w:szCs w:val="28"/>
          <w:highlight w:val="white"/>
        </w:rPr>
        <w:t xml:space="preserve">В Новосибирском районе проживает 703 семей мобилизованных граждан. В семьях мобилизованных граждан 838 ребенка. За каждой семьей, нуждающейся в социальной поддержке для </w:t>
      </w:r>
      <w:r>
        <w:rPr>
          <w:sz w:val="28"/>
          <w:szCs w:val="28"/>
          <w:highlight w:val="white"/>
        </w:rPr>
        <w:t xml:space="preserve">обеспечения социального патронажа, установления причин трудной жизненной ситуации и оказания содействия в её преодолении, консультирования по различным вопросам социальной защиты, осуществления взаимодействия не только с органами социального обеспечения, о</w:t>
      </w:r>
      <w:r>
        <w:rPr>
          <w:sz w:val="28"/>
          <w:szCs w:val="28"/>
          <w:highlight w:val="white"/>
        </w:rPr>
        <w:t xml:space="preserve">пределения характера и объема необходимой помощи закреплены специалисты по социальной работе МБУ «КЦСОН «Добрыня» и специалисты муниципальных образований Новосибирского района. В 2023 году составлено 1028 социальных паспортов семей мобилизованных граждан. </w:t>
      </w:r>
      <w:r>
        <w:rPr>
          <w:spacing w:val="4"/>
          <w:sz w:val="28"/>
          <w:highlight w:val="white"/>
        </w:rPr>
      </w:r>
      <w:r>
        <w:rPr>
          <w:spacing w:val="4"/>
          <w:sz w:val="28"/>
          <w:highlight w:val="white"/>
        </w:rPr>
      </w:r>
    </w:p>
    <w:p>
      <w:pPr>
        <w:ind w:firstLine="709"/>
        <w:jc w:val="both"/>
        <w:shd w:val="clear" w:color="ffffff" w:themeColor="background1" w:fill="ffffff" w:themeFill="background1"/>
        <w:rPr>
          <w:spacing w:val="4"/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 Финансовая помощь оказана 299 семьям, 104 гражданам оказана психологическая поддержка специалистами центра «Добрыня». Величина оказанной материальной помощи участникам СВО в 2023 году составила 4 333,3 </w:t>
      </w:r>
      <w:r>
        <w:rPr>
          <w:sz w:val="28"/>
          <w:szCs w:val="28"/>
          <w:highlight w:val="white"/>
        </w:rPr>
        <w:t xml:space="preserve">тыс.руб</w:t>
      </w:r>
      <w:r>
        <w:rPr>
          <w:sz w:val="28"/>
          <w:szCs w:val="28"/>
          <w:highlight w:val="white"/>
        </w:rPr>
        <w:t xml:space="preserve">. </w:t>
      </w:r>
      <w:r>
        <w:rPr>
          <w:spacing w:val="4"/>
          <w:sz w:val="28"/>
          <w:szCs w:val="28"/>
          <w:highlight w:val="white"/>
        </w:rPr>
      </w:r>
      <w:r>
        <w:rPr>
          <w:spacing w:val="4"/>
          <w:sz w:val="28"/>
          <w:szCs w:val="28"/>
          <w:highlight w:val="white"/>
        </w:rPr>
      </w:r>
    </w:p>
    <w:p>
      <w:pPr>
        <w:ind w:firstLine="709"/>
        <w:jc w:val="both"/>
        <w:shd w:val="clear" w:color="ffffff" w:themeColor="background1" w:fill="ffffff" w:themeFill="background1"/>
        <w:rPr>
          <w:sz w:val="28"/>
          <w:szCs w:val="28"/>
          <w:highlight w:val="none"/>
        </w:rPr>
      </w:pPr>
      <w:r>
        <w:rPr>
          <w:sz w:val="28"/>
          <w:szCs w:val="28"/>
          <w:highlight w:val="white"/>
        </w:rPr>
        <w:t xml:space="preserve">Информация о мерах социальной поддержки семей мобилизованных граждан размещена на информационных стендах, в МБУ «КЦСОН «Добрыня», в администрациях сельсоветов Новосибирского района, на сайте МБУ «КЦСОН «Добрыня», в социальных сетях.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jc w:val="both"/>
        <w:tabs>
          <w:tab w:val="left" w:pos="10206" w:leader="none"/>
        </w:tabs>
        <w:rPr>
          <w:b/>
          <w:bCs/>
          <w:i/>
          <w:sz w:val="28"/>
          <w:szCs w:val="28"/>
        </w:rPr>
        <w:outlineLvl w:val="1"/>
      </w:pPr>
      <w:r>
        <w:rPr>
          <w:b/>
          <w:bCs/>
          <w:i/>
          <w:sz w:val="28"/>
          <w:szCs w:val="28"/>
        </w:rPr>
      </w:r>
      <w:r>
        <w:rPr>
          <w:b/>
          <w:bCs/>
          <w:i/>
          <w:sz w:val="28"/>
          <w:szCs w:val="28"/>
        </w:rPr>
      </w:r>
      <w:r>
        <w:rPr>
          <w:b/>
          <w:bCs/>
          <w:i/>
          <w:sz w:val="28"/>
          <w:szCs w:val="28"/>
        </w:rPr>
      </w:r>
    </w:p>
    <w:p>
      <w:pPr>
        <w:jc w:val="both"/>
        <w:tabs>
          <w:tab w:val="left" w:pos="10206" w:leader="none"/>
        </w:tabs>
        <w:rPr>
          <w:b/>
          <w:bCs/>
          <w:i/>
          <w:sz w:val="28"/>
          <w:szCs w:val="28"/>
        </w:rPr>
        <w:outlineLvl w:val="1"/>
      </w:pPr>
      <w:r>
        <w:rPr>
          <w:b/>
          <w:bCs/>
          <w:i/>
          <w:sz w:val="28"/>
          <w:szCs w:val="28"/>
        </w:rPr>
      </w:r>
      <w:r>
        <w:rPr>
          <w:b/>
          <w:bCs/>
          <w:i/>
          <w:sz w:val="28"/>
          <w:szCs w:val="28"/>
        </w:rPr>
      </w:r>
      <w:r>
        <w:rPr>
          <w:b/>
          <w:bCs/>
          <w:i/>
          <w:sz w:val="28"/>
          <w:szCs w:val="28"/>
        </w:rPr>
      </w:r>
    </w:p>
    <w:p>
      <w:pPr>
        <w:ind w:firstLine="709"/>
        <w:jc w:val="both"/>
        <w:spacing w:line="276" w:lineRule="auto"/>
        <w:rPr>
          <w:b/>
          <w:bCs/>
          <w:i/>
          <w:sz w:val="28"/>
          <w:szCs w:val="28"/>
        </w:rPr>
      </w:pPr>
      <w:r>
        <w:rPr>
          <w:b/>
          <w:i/>
          <w:sz w:val="28"/>
        </w:rPr>
        <w:t xml:space="preserve">5.8. Опека и попечительство</w:t>
      </w:r>
      <w:r>
        <w:rPr>
          <w:b/>
          <w:bCs/>
          <w:i/>
          <w:sz w:val="28"/>
          <w:szCs w:val="28"/>
        </w:rPr>
      </w:r>
      <w:r>
        <w:rPr>
          <w:b/>
          <w:bCs/>
          <w:i/>
          <w:sz w:val="28"/>
          <w:szCs w:val="28"/>
        </w:rPr>
      </w:r>
    </w:p>
    <w:p>
      <w:pPr>
        <w:ind w:firstLine="709"/>
        <w:jc w:val="both"/>
        <w:spacing w:line="276" w:lineRule="auto"/>
        <w:rPr>
          <w:b/>
          <w:bCs/>
          <w:i/>
          <w:sz w:val="28"/>
          <w:szCs w:val="28"/>
        </w:rPr>
      </w:pPr>
      <w:r>
        <w:rPr>
          <w:b/>
          <w:bCs/>
          <w:i/>
          <w:sz w:val="28"/>
          <w:szCs w:val="28"/>
        </w:rPr>
      </w:r>
      <w:r>
        <w:rPr>
          <w:b/>
          <w:bCs/>
          <w:i/>
          <w:sz w:val="28"/>
          <w:szCs w:val="28"/>
        </w:rPr>
      </w:r>
      <w:r>
        <w:rPr>
          <w:b/>
          <w:bCs/>
          <w:i/>
          <w:sz w:val="28"/>
          <w:szCs w:val="28"/>
        </w:rPr>
      </w:r>
    </w:p>
    <w:p>
      <w:pPr>
        <w:ind w:firstLine="709"/>
        <w:jc w:val="both"/>
        <w:shd w:val="clear" w:color="ffffff" w:themeColor="background1" w:fill="ffffff" w:themeFill="background1"/>
        <w:rPr>
          <w:sz w:val="28"/>
          <w:highlight w:val="white"/>
        </w:rPr>
      </w:pPr>
      <w:r>
        <w:rPr>
          <w:sz w:val="28"/>
          <w:szCs w:val="28"/>
          <w:highlight w:val="white"/>
        </w:rPr>
        <w:t xml:space="preserve">Организацией и осуществлением де</w:t>
      </w:r>
      <w:r>
        <w:rPr>
          <w:sz w:val="28"/>
          <w:szCs w:val="28"/>
          <w:highlight w:val="white"/>
        </w:rPr>
        <w:t xml:space="preserve">ятельности в сфере опеки и попечительства, а также контроль за обеспечением прав и интересов граждан, нуждающихся в установлении опеки, на территории Новосибирского района осуществляет управление опеки и попечительства администрации Новосибирского района. </w:t>
      </w:r>
      <w:r>
        <w:rPr>
          <w:sz w:val="28"/>
          <w:highlight w:val="white"/>
        </w:rPr>
      </w:r>
      <w:r>
        <w:rPr>
          <w:sz w:val="28"/>
          <w:highlight w:val="white"/>
        </w:rPr>
      </w:r>
    </w:p>
    <w:p>
      <w:pPr>
        <w:ind w:firstLine="709"/>
        <w:jc w:val="both"/>
        <w:shd w:val="clear" w:color="ffffff" w:themeColor="background1" w:fill="ffffff" w:themeFill="background1"/>
        <w:tabs>
          <w:tab w:val="left" w:pos="7661" w:leader="none"/>
        </w:tabs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Всего на ко</w:t>
      </w:r>
      <w:r>
        <w:rPr>
          <w:sz w:val="28"/>
          <w:szCs w:val="28"/>
          <w:highlight w:val="white"/>
        </w:rPr>
        <w:t xml:space="preserve">нец 2023 года на территории Новосибирского района общая численность детей-сирот и детей, оставшихся без попечения родителей, составляет 505 человек, 500 находятся на воспитании в приемных семьях и семьях опекунов, это на 22 ребенка больше, чем в 2022 году.</w:t>
      </w:r>
      <w:r>
        <w:rPr>
          <w:sz w:val="28"/>
          <w:szCs w:val="28"/>
          <w:highlight w:val="white"/>
        </w:rPr>
        <w:tab/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567"/>
        <w:jc w:val="both"/>
        <w:shd w:val="clear" w:color="ffffff" w:themeColor="background1" w:fill="ffffff" w:themeFill="background1"/>
        <w:rPr>
          <w:szCs w:val="24"/>
          <w:highlight w:val="white"/>
        </w:rPr>
      </w:pPr>
      <w:r>
        <w:rPr>
          <w:sz w:val="28"/>
          <w:szCs w:val="28"/>
          <w:highlight w:val="white"/>
        </w:rPr>
        <w:t xml:space="preserve">На территории Новосибирского района Новосибирской области по ожидаемым итогам за 2023 </w:t>
      </w:r>
      <w:r>
        <w:rPr>
          <w:sz w:val="28"/>
          <w:szCs w:val="28"/>
          <w:highlight w:val="white"/>
        </w:rPr>
        <w:t xml:space="preserve">года  выявлено</w:t>
      </w:r>
      <w:r>
        <w:rPr>
          <w:sz w:val="28"/>
          <w:szCs w:val="28"/>
          <w:highlight w:val="white"/>
        </w:rPr>
        <w:t xml:space="preserve"> 53 ребенка из числа детей-сирот и детей, оставшихся без попечения родителей, 53 несовершеннолетних переданы под опеку.</w:t>
      </w:r>
      <w:r>
        <w:rPr>
          <w:szCs w:val="24"/>
          <w:highlight w:val="white"/>
        </w:rPr>
      </w:r>
      <w:r>
        <w:rPr>
          <w:szCs w:val="24"/>
          <w:highlight w:val="white"/>
        </w:rPr>
      </w:r>
    </w:p>
    <w:p>
      <w:pPr>
        <w:ind w:firstLine="709"/>
        <w:jc w:val="both"/>
        <w:shd w:val="clear" w:color="ffffff" w:themeColor="background1" w:fill="ffffff" w:themeFill="background1"/>
        <w:tabs>
          <w:tab w:val="left" w:pos="7661" w:leader="none"/>
        </w:tabs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За 2022 год был выявлен 51 ребенок, указанной категории, 49 несовершеннолетних были переданы под опеку, 2 помещены в центры помощи детям, оставшимся без попечения родителей.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shd w:val="clear" w:color="ffffff" w:themeColor="background1" w:fill="ffffff" w:themeFill="background1"/>
        <w:tabs>
          <w:tab w:val="left" w:pos="7661" w:leader="none"/>
        </w:tabs>
        <w:rPr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В 2023 году доля детей-сирот и детей, оставшихся без попечения родителей, устроенных в семьи из числа </w:t>
      </w:r>
      <w:r>
        <w:rPr>
          <w:sz w:val="28"/>
          <w:szCs w:val="28"/>
          <w:highlight w:val="white"/>
        </w:rPr>
        <w:t xml:space="preserve">выявленных</w:t>
      </w:r>
      <w:r>
        <w:rPr>
          <w:sz w:val="28"/>
          <w:szCs w:val="28"/>
          <w:highlight w:val="white"/>
        </w:rPr>
        <w:t xml:space="preserve"> составила 100%, за аналогичный период 2022 года - 96%.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shd w:val="clear" w:color="ffffff" w:themeColor="background1" w:fill="ffffff" w:themeFill="background1"/>
        <w:rPr>
          <w:sz w:val="28"/>
          <w:szCs w:val="28"/>
          <w:highlight w:val="white"/>
        </w:rPr>
      </w:pPr>
      <w:r>
        <w:rPr>
          <w:sz w:val="28"/>
          <w:szCs w:val="28"/>
        </w:rPr>
        <w:t xml:space="preserve">В</w:t>
      </w:r>
      <w:r>
        <w:rPr>
          <w:sz w:val="28"/>
          <w:szCs w:val="28"/>
          <w:highlight w:val="white"/>
        </w:rPr>
        <w:t xml:space="preserve"> 2023 году администрацией Новосибирского района Новосибирской области </w:t>
      </w:r>
      <w:r>
        <w:rPr>
          <w:sz w:val="28"/>
          <w:szCs w:val="28"/>
          <w:highlight w:val="white"/>
          <w:shd w:val="clear" w:color="92d050" w:fill="92d050"/>
        </w:rPr>
        <w:t xml:space="preserve">обеспечено</w:t>
      </w:r>
      <w:r>
        <w:rPr>
          <w:sz w:val="28"/>
          <w:szCs w:val="28"/>
          <w:highlight w:val="white"/>
        </w:rPr>
        <w:t xml:space="preserve"> благоустроенными жилыми помещениями 43 человека (2022 год – 23 человек), отнесенных к категории лиц из числа детей-сирот и детей, оставшихся без попечения родителей.</w:t>
      </w:r>
      <w:r>
        <w:rPr>
          <w:sz w:val="28"/>
          <w:szCs w:val="28"/>
          <w:highlight w:val="white"/>
        </w:rPr>
      </w:r>
      <w:r>
        <w:rPr>
          <w:sz w:val="28"/>
          <w:szCs w:val="28"/>
          <w:highlight w:val="white"/>
        </w:rPr>
      </w:r>
    </w:p>
    <w:p>
      <w:pPr>
        <w:ind w:firstLine="709"/>
        <w:jc w:val="both"/>
        <w:shd w:val="clear" w:color="ffffff" w:themeColor="background1" w:fill="ffffff" w:themeFill="background1"/>
        <w:tabs>
          <w:tab w:val="left" w:pos="7661" w:leader="none"/>
        </w:tabs>
        <w:rPr>
          <w:sz w:val="28"/>
          <w:szCs w:val="28"/>
          <w:highlight w:val="yellow"/>
        </w:rPr>
      </w:pPr>
      <w:r>
        <w:rPr>
          <w:sz w:val="28"/>
          <w:szCs w:val="28"/>
          <w:highlight w:val="white"/>
        </w:rPr>
        <w:t xml:space="preserve">В Новосибирском районе, в списке лиц, относящихся к категории </w:t>
      </w:r>
      <w:r>
        <w:rPr>
          <w:sz w:val="28"/>
          <w:szCs w:val="28"/>
          <w:highlight w:val="white"/>
        </w:rPr>
        <w:t xml:space="preserve">детей-сирот и детей, оставшихся без попечения родителей, обеспечению жилыми помещениями на конец 2023 года подлежат 354 человека, из них лица, у которых на данный момент возникло право на получение жилого помещения (лица от 18 лет и старше) – 237 человек. </w:t>
      </w: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ind w:firstLine="709"/>
        <w:jc w:val="both"/>
        <w:shd w:val="clear" w:color="ffffff" w:themeColor="background1" w:fill="ffffff" w:themeFill="background1"/>
        <w:rPr>
          <w:sz w:val="28"/>
          <w:highlight w:val="yellow"/>
        </w:rPr>
      </w:pPr>
      <w:r>
        <w:rPr>
          <w:sz w:val="28"/>
          <w:szCs w:val="28"/>
          <w:highlight w:val="white"/>
        </w:rPr>
        <w:t xml:space="preserve">На территории района расположено 2 учреждения психоневрологического профиля, в которых на стационарном социальном обслуживании находятся 283 че</w:t>
      </w:r>
      <w:r>
        <w:rPr>
          <w:sz w:val="28"/>
          <w:szCs w:val="28"/>
          <w:highlight w:val="white"/>
        </w:rPr>
        <w:t xml:space="preserve">ловека, признанных недееспособными. Помимо стационарного наблюдения, недееспособные граждане находятся под опекой или попечительстве у физических лиц. Всего на учете в органах опеки и попечительства Новосибирского района состоит 535 недееспособных граждан.</w:t>
      </w:r>
      <w:r>
        <w:rPr>
          <w:sz w:val="28"/>
          <w:highlight w:val="white"/>
        </w:rPr>
        <w:t xml:space="preserve"> </w:t>
      </w:r>
      <w:r>
        <w:rPr>
          <w:sz w:val="28"/>
          <w:highlight w:val="yellow"/>
        </w:rPr>
      </w:r>
      <w:r>
        <w:rPr>
          <w:sz w:val="28"/>
          <w:highlight w:val="yellow"/>
        </w:rPr>
      </w:r>
    </w:p>
    <w:p>
      <w:pPr>
        <w:jc w:val="both"/>
        <w:rPr>
          <w:b/>
          <w:i/>
          <w:sz w:val="28"/>
        </w:rPr>
      </w:pPr>
      <w:r>
        <w:rPr>
          <w:b/>
          <w:i/>
          <w:sz w:val="28"/>
        </w:rPr>
      </w:r>
      <w:r>
        <w:rPr>
          <w:b/>
          <w:i/>
          <w:sz w:val="28"/>
        </w:rPr>
      </w:r>
      <w:r>
        <w:rPr>
          <w:b/>
          <w:i/>
          <w:sz w:val="28"/>
        </w:rPr>
      </w:r>
    </w:p>
    <w:sectPr>
      <w:headerReference w:type="default" r:id="rId9"/>
      <w:footnotePr/>
      <w:endnotePr/>
      <w:type w:val="nextPage"/>
      <w:pgSz w:w="11906" w:h="16838" w:orient="portrait"/>
      <w:pgMar w:top="1134" w:right="567" w:bottom="993" w:left="1418" w:header="709" w:footer="709" w:gutter="0"/>
      <w:cols w:num="1" w:sep="0" w:space="720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10000000000000000"/>
  </w:font>
  <w:font w:name="Wingdings">
    <w:panose1 w:val="05010000000000000000"/>
  </w:font>
  <w:font w:name="Courier New">
    <w:panose1 w:val="02070409020205020404"/>
  </w:font>
  <w:font w:name="Droid Sans Fallback">
    <w:panose1 w:val="020B0502000000000001"/>
  </w:font>
  <w:font w:name="Droid Sans Devanagari">
    <w:panose1 w:val="020B0606030804020204"/>
  </w:font>
  <w:font w:name="Liberation Serif">
    <w:panose1 w:val="02020603050405020304"/>
  </w:font>
  <w:font w:name="Segoe UI">
    <w:panose1 w:val="020B0503020203020204"/>
  </w:font>
  <w:font w:name="Tahoma">
    <w:panose1 w:val="020B0604030504040204"/>
  </w:font>
  <w:font w:name="Calibri">
    <w:panose1 w:val="020F0502020204030204"/>
  </w:font>
  <w:font w:name="XO Thames">
    <w:panose1 w:val="02020603050405020304"/>
  </w:font>
  <w:font w:name="Arial">
    <w:panose1 w:val="020B0604020202020204"/>
  </w:font>
  <w:font w:name="Times New Roman">
    <w:panose1 w:val="020206030504050203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framePr w:wrap="around" w:vAnchor="text" w:hAnchor="margin" w:xAlign="center" w:y="1"/>
    </w:pPr>
    <w:r>
      <w:fldChar w:fldCharType="begin"/>
    </w:r>
    <w:r>
      <w:instrText xml:space="preserve">PAGE </w:instrText>
    </w:r>
    <w:r>
      <w:fldChar w:fldCharType="separate"/>
    </w:r>
    <w:r>
      <w:t xml:space="preserve">21</w:t>
    </w:r>
    <w:r>
      <w:fldChar w:fldCharType="end"/>
    </w:r>
    <w:r/>
  </w:p>
  <w:p>
    <w:pPr>
      <w:pStyle w:val="953"/>
      <w:jc w:val="center"/>
      <w:rPr>
        <w:sz w:val="20"/>
      </w:rPr>
    </w:pPr>
    <w:r>
      <w:rPr>
        <w:sz w:val="20"/>
      </w:rPr>
    </w:r>
    <w:r>
      <w:rPr>
        <w:sz w:val="20"/>
      </w:rPr>
    </w:r>
    <w:r>
      <w:rPr>
        <w:sz w:val="20"/>
      </w:rPr>
    </w:r>
  </w:p>
  <w:p>
    <w:pPr>
      <w:pStyle w:val="953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3"/>
      <w:numFmt w:val="upperRoman"/>
      <w:isLgl w:val="false"/>
      <w:suff w:val="tab"/>
      <w:lvlText w:val="%1."/>
      <w:lvlJc w:val="left"/>
      <w:pPr>
        <w:ind w:left="1571" w:hanging="720"/>
      </w:pPr>
    </w:lvl>
    <w:lvl w:ilvl="1">
      <w:start w:val="1"/>
      <w:numFmt w:val="lowerLetter"/>
      <w:isLgl w:val="false"/>
      <w:suff w:val="tab"/>
      <w:lvlText w:val="%2."/>
      <w:lvlJc w:val="left"/>
      <w:pPr>
        <w:ind w:left="1931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651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371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091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811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531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251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971" w:hanging="180"/>
      </w:pPr>
    </w:lvl>
  </w:abstractNum>
  <w:abstractNum w:abstractNumId="1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1418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2138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858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3578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4298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5018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738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58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7178" w:hanging="360"/>
      </w:pPr>
      <w:rPr>
        <w:rFonts w:hint="default" w:ascii="Wingdings" w:hAnsi="Wingdings" w:eastAsia="Wingdings" w:cs="Wingdings"/>
      </w:r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420" w:hanging="420"/>
      </w:pPr>
    </w:lvl>
    <w:lvl w:ilvl="1">
      <w:start w:val="1"/>
      <w:numFmt w:val="decimal"/>
      <w:isLgl w:val="false"/>
      <w:suff w:val="tab"/>
      <w:lvlText w:val="%1.%2."/>
      <w:lvlJc w:val="left"/>
      <w:pPr>
        <w:ind w:left="1146" w:hanging="720"/>
      </w:pPr>
    </w:lvl>
    <w:lvl w:ilvl="2">
      <w:start w:val="1"/>
      <w:numFmt w:val="decimal"/>
      <w:isLgl w:val="false"/>
      <w:suff w:val="tab"/>
      <w:lvlText w:val="%1.%2.%3."/>
      <w:lvlJc w:val="left"/>
      <w:pPr>
        <w:ind w:left="2138" w:hanging="720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3207" w:hanging="1080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3916" w:hanging="1080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4985" w:hanging="1440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6054" w:hanging="180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6763" w:hanging="1800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7832" w:hanging="2160"/>
      </w:pPr>
    </w:lvl>
  </w:abstractNum>
  <w:abstractNum w:abstractNumId="3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1418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2138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858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3578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4298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5018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738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58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7178" w:hanging="360"/>
      </w:pPr>
      <w:rPr>
        <w:rFonts w:hint="default" w:ascii="Wingdings" w:hAnsi="Wingdings" w:eastAsia="Wingdings" w:cs="Wingdings"/>
      </w:rPr>
    </w:lvl>
  </w:abstractNum>
  <w:abstractNum w:abstractNumId="4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1418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2138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858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3578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4298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5018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738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58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7178" w:hanging="360"/>
      </w:pPr>
      <w:rPr>
        <w:rFonts w:hint="default" w:ascii="Wingdings" w:hAnsi="Wingdings" w:eastAsia="Wingdings" w:cs="Wingdings"/>
      </w:rPr>
    </w:lvl>
  </w:abstractNum>
  <w:abstractNum w:abstractNumId="5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1418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2138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858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3578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4298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5018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738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58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7178" w:hanging="360"/>
      </w:pPr>
      <w:rPr>
        <w:rFonts w:hint="default" w:ascii="Wingdings" w:hAnsi="Wingdings" w:eastAsia="Wingdings" w:cs="Wingdings"/>
      </w:rPr>
    </w:lvl>
  </w:abstractNum>
  <w:abstractNum w:abstractNumId="6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1418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2138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858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3578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4298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5018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738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58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7178" w:hanging="360"/>
      </w:pPr>
      <w:rPr>
        <w:rFonts w:hint="default" w:ascii="Wingdings" w:hAnsi="Wingdings" w:eastAsia="Wingdings" w:cs="Wingdings"/>
      </w:rPr>
    </w:lvl>
  </w:abstractNum>
  <w:abstractNum w:abstractNumId="7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1418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2138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858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3578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4298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5018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738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58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7178" w:hanging="360"/>
      </w:pPr>
      <w:rPr>
        <w:rFonts w:hint="default" w:ascii="Wingdings" w:hAnsi="Wingdings" w:eastAsia="Wingdings" w:cs="Wingdings"/>
      </w:rPr>
    </w:lvl>
  </w:abstractNum>
  <w:abstractNum w:abstractNumId="8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1417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2137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857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3577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4297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5017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737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57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7177" w:hanging="360"/>
      </w:pPr>
      <w:rPr>
        <w:rFonts w:hint="default" w:ascii="Wingdings" w:hAnsi="Wingdings" w:eastAsia="Wingdings" w:cs="Wingdings"/>
      </w:rPr>
    </w:lvl>
  </w:abstractNum>
  <w:abstractNum w:abstractNumId="9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1418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2138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858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3578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4298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5018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738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58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7178" w:hanging="360"/>
      </w:pPr>
      <w:rPr>
        <w:rFonts w:hint="default" w:ascii="Wingdings" w:hAnsi="Wingdings" w:eastAsia="Wingdings" w:cs="Wingdings"/>
      </w:rPr>
    </w:lvl>
  </w:abstractNum>
  <w:abstractNum w:abstractNumId="10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1418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2138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858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3578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4298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5018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738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58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7178" w:hanging="360"/>
      </w:pPr>
      <w:rPr>
        <w:rFonts w:hint="default" w:ascii="Wingdings" w:hAnsi="Wingdings" w:eastAsia="Wingdings" w:cs="Wingdings"/>
      </w:rPr>
    </w:lvl>
  </w:abstractNum>
  <w:abstractNum w:abstractNumId="11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1418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2138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858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3578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4298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5018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738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58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7178" w:hanging="360"/>
      </w:pPr>
      <w:rPr>
        <w:rFonts w:hint="default" w:ascii="Wingdings" w:hAnsi="Wingdings" w:eastAsia="Wingdings" w:cs="Wingdings"/>
      </w:rPr>
    </w:lvl>
  </w:abstractNum>
  <w:abstractNum w:abstractNumId="12">
    <w:multiLevelType w:val="hybridMultilevel"/>
    <w:lvl w:ilvl="0">
      <w:start w:val="1"/>
      <w:numFmt w:val="upperRoman"/>
      <w:isLgl w:val="false"/>
      <w:suff w:val="tab"/>
      <w:lvlText w:val="%1."/>
      <w:lvlJc w:val="left"/>
      <w:pPr>
        <w:ind w:left="1429" w:hanging="720"/>
      </w:pPr>
    </w:lvl>
    <w:lvl w:ilvl="1">
      <w:start w:val="1"/>
      <w:numFmt w:val="decimal"/>
      <w:isLgl w:val="false"/>
      <w:suff w:val="tab"/>
      <w:lvlText w:val="%1.%2"/>
      <w:lvlJc w:val="left"/>
      <w:pPr>
        <w:ind w:left="1204" w:hanging="495"/>
      </w:pPr>
      <w:rPr>
        <w:b/>
      </w:rPr>
    </w:lvl>
    <w:lvl w:ilvl="2">
      <w:start w:val="1"/>
      <w:numFmt w:val="decimal"/>
      <w:isLgl w:val="false"/>
      <w:suff w:val="tab"/>
      <w:lvlText w:val="%1.%2.%3"/>
      <w:lvlJc w:val="left"/>
      <w:pPr>
        <w:ind w:left="1429" w:hanging="720"/>
      </w:pPr>
      <w:rPr>
        <w:b/>
      </w:rPr>
    </w:lvl>
    <w:lvl w:ilvl="3">
      <w:start w:val="1"/>
      <w:numFmt w:val="decimal"/>
      <w:isLgl w:val="false"/>
      <w:suff w:val="tab"/>
      <w:lvlText w:val="%1.%2.%3.%4"/>
      <w:lvlJc w:val="left"/>
      <w:pPr>
        <w:ind w:left="1789" w:hanging="1080"/>
      </w:pPr>
      <w:rPr>
        <w:b/>
      </w:rPr>
    </w:lvl>
    <w:lvl w:ilvl="4">
      <w:start w:val="1"/>
      <w:numFmt w:val="decimal"/>
      <w:isLgl w:val="false"/>
      <w:suff w:val="tab"/>
      <w:lvlText w:val="%1.%2.%3.%4.%5"/>
      <w:lvlJc w:val="left"/>
      <w:pPr>
        <w:ind w:left="1789" w:hanging="1080"/>
      </w:pPr>
      <w:rPr>
        <w:b/>
      </w:rPr>
    </w:lvl>
    <w:lvl w:ilvl="5">
      <w:start w:val="1"/>
      <w:numFmt w:val="decimal"/>
      <w:isLgl w:val="false"/>
      <w:suff w:val="tab"/>
      <w:lvlText w:val="%1.%2.%3.%4.%5.%6"/>
      <w:lvlJc w:val="left"/>
      <w:pPr>
        <w:ind w:left="2149" w:hanging="1440"/>
      </w:pPr>
      <w:rPr>
        <w:b/>
      </w:rPr>
    </w:lvl>
    <w:lvl w:ilvl="6">
      <w:start w:val="1"/>
      <w:numFmt w:val="decimal"/>
      <w:isLgl w:val="false"/>
      <w:suff w:val="tab"/>
      <w:lvlText w:val="%1.%2.%3.%4.%5.%6.%7"/>
      <w:lvlJc w:val="left"/>
      <w:pPr>
        <w:ind w:left="2149" w:hanging="1440"/>
      </w:pPr>
      <w:rPr>
        <w:b/>
      </w:rPr>
    </w:lvl>
    <w:lvl w:ilvl="7">
      <w:start w:val="1"/>
      <w:numFmt w:val="decimal"/>
      <w:isLgl w:val="false"/>
      <w:suff w:val="tab"/>
      <w:lvlText w:val="%1.%2.%3.%4.%5.%6.%7.%8"/>
      <w:lvlJc w:val="left"/>
      <w:pPr>
        <w:ind w:left="2509" w:hanging="1800"/>
      </w:pPr>
      <w:rPr>
        <w:b/>
      </w:r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2869" w:hanging="2160"/>
      </w:pPr>
      <w:rPr>
        <w:b/>
      </w:rPr>
    </w:lvl>
  </w:abstractNum>
  <w:abstractNum w:abstractNumId="13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1417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2137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857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3577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4297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5017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737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57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7177" w:hanging="360"/>
      </w:pPr>
      <w:rPr>
        <w:rFonts w:hint="default" w:ascii="Wingdings" w:hAnsi="Wingdings" w:eastAsia="Wingdings" w:cs="Wingdings"/>
      </w:rPr>
    </w:lvl>
  </w:abstractNum>
  <w:abstractNum w:abstractNumId="14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1418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2138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858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3578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4298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5018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738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58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7178" w:hanging="360"/>
      </w:pPr>
      <w:rPr>
        <w:rFonts w:hint="default" w:ascii="Wingdings" w:hAnsi="Wingdings" w:eastAsia="Wingdings" w:cs="Wingdings"/>
      </w:rPr>
    </w:lvl>
  </w:abstractNum>
  <w:abstractNum w:abstractNumId="15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left="72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12"/>
  </w:num>
  <w:num w:numId="2">
    <w:abstractNumId w:val="2"/>
  </w:num>
  <w:num w:numId="3">
    <w:abstractNumId w:val="0"/>
  </w:num>
  <w:num w:numId="4">
    <w:abstractNumId w:val="4"/>
  </w:num>
  <w:num w:numId="5">
    <w:abstractNumId w:val="6"/>
  </w:num>
  <w:num w:numId="6">
    <w:abstractNumId w:val="14"/>
  </w:num>
  <w:num w:numId="7">
    <w:abstractNumId w:val="15"/>
  </w:num>
  <w:num w:numId="8">
    <w:abstractNumId w:val="1"/>
  </w:num>
  <w:num w:numId="9">
    <w:abstractNumId w:val="7"/>
  </w:num>
  <w:num w:numId="10">
    <w:abstractNumId w:val="5"/>
  </w:num>
  <w:num w:numId="11">
    <w:abstractNumId w:val="11"/>
  </w:num>
  <w:num w:numId="12">
    <w:abstractNumId w:val="3"/>
  </w:num>
  <w:num w:numId="13">
    <w:abstractNumId w:val="10"/>
  </w:num>
  <w:num w:numId="14">
    <w:abstractNumId w:val="13"/>
  </w:num>
  <w:num w:numId="15">
    <w:abstractNumId w:val="8"/>
  </w:num>
  <w:num w:numId="1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eastAsia="Times New Roman" w:cs="Times New Roman" w:asciiTheme="minorHAnsi" w:hAnsiTheme="minorHAnsi"/>
        <w:color w:val="000000"/>
        <w:sz w:val="22"/>
        <w:lang w:val="ru-RU" w:eastAsia="ru-RU" w:bidi="ar-SA"/>
      </w:rPr>
    </w:rPrDefault>
    <w:pPrDefault>
      <w:pPr>
        <w:spacing w:before="0" w:beforeAutospacing="0" w:after="160" w:afterAutospacing="0" w:line="264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710" w:default="1">
    <w:name w:val="Normal"/>
    <w:link w:val="883"/>
    <w:qFormat/>
    <w:pPr>
      <w:spacing w:after="0" w:line="240" w:lineRule="auto"/>
    </w:pPr>
    <w:rPr>
      <w:rFonts w:ascii="Times New Roman" w:hAnsi="Times New Roman"/>
      <w:sz w:val="24"/>
    </w:rPr>
  </w:style>
  <w:style w:type="paragraph" w:styleId="711">
    <w:name w:val="Heading 1"/>
    <w:basedOn w:val="710"/>
    <w:next w:val="710"/>
    <w:link w:val="930"/>
    <w:uiPriority w:val="9"/>
    <w:qFormat/>
    <w:pPr>
      <w:keepNext/>
      <w:spacing w:before="240" w:after="60"/>
      <w:outlineLvl w:val="0"/>
    </w:pPr>
    <w:rPr>
      <w:rFonts w:ascii="Arial" w:hAnsi="Arial"/>
      <w:b/>
      <w:sz w:val="32"/>
    </w:rPr>
  </w:style>
  <w:style w:type="paragraph" w:styleId="712">
    <w:name w:val="Heading 2"/>
    <w:basedOn w:val="710"/>
    <w:next w:val="710"/>
    <w:link w:val="975"/>
    <w:uiPriority w:val="9"/>
    <w:qFormat/>
    <w:pPr>
      <w:keepNext/>
      <w:spacing w:before="240" w:after="60"/>
      <w:outlineLvl w:val="1"/>
    </w:pPr>
    <w:rPr>
      <w:rFonts w:ascii="Arial" w:hAnsi="Arial"/>
      <w:b/>
      <w:i/>
    </w:rPr>
  </w:style>
  <w:style w:type="paragraph" w:styleId="713">
    <w:name w:val="Heading 3"/>
    <w:next w:val="710"/>
    <w:link w:val="900"/>
    <w:uiPriority w:val="9"/>
    <w:qFormat/>
    <w:pPr>
      <w:jc w:val="both"/>
      <w:spacing w:before="120" w:after="120"/>
      <w:outlineLvl w:val="2"/>
    </w:pPr>
    <w:rPr>
      <w:rFonts w:ascii="XO Thames" w:hAnsi="XO Thames"/>
      <w:b/>
      <w:sz w:val="26"/>
    </w:rPr>
  </w:style>
  <w:style w:type="paragraph" w:styleId="714">
    <w:name w:val="Heading 4"/>
    <w:next w:val="710"/>
    <w:link w:val="972"/>
    <w:uiPriority w:val="9"/>
    <w:qFormat/>
    <w:pPr>
      <w:jc w:val="both"/>
      <w:spacing w:before="120" w:after="120"/>
      <w:outlineLvl w:val="3"/>
    </w:pPr>
    <w:rPr>
      <w:rFonts w:ascii="XO Thames" w:hAnsi="XO Thames"/>
      <w:b/>
      <w:sz w:val="24"/>
    </w:rPr>
  </w:style>
  <w:style w:type="paragraph" w:styleId="715">
    <w:name w:val="Heading 5"/>
    <w:next w:val="710"/>
    <w:link w:val="929"/>
    <w:uiPriority w:val="9"/>
    <w:qFormat/>
    <w:pPr>
      <w:jc w:val="both"/>
      <w:spacing w:before="120" w:after="120"/>
      <w:outlineLvl w:val="4"/>
    </w:pPr>
    <w:rPr>
      <w:rFonts w:ascii="XO Thames" w:hAnsi="XO Thames"/>
      <w:b/>
    </w:rPr>
  </w:style>
  <w:style w:type="paragraph" w:styleId="716">
    <w:name w:val="Heading 6"/>
    <w:basedOn w:val="710"/>
    <w:next w:val="710"/>
    <w:link w:val="736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17">
    <w:name w:val="Heading 7"/>
    <w:basedOn w:val="710"/>
    <w:next w:val="710"/>
    <w:link w:val="73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718">
    <w:name w:val="Heading 8"/>
    <w:basedOn w:val="710"/>
    <w:next w:val="710"/>
    <w:link w:val="73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719">
    <w:name w:val="Heading 9"/>
    <w:basedOn w:val="710"/>
    <w:next w:val="710"/>
    <w:link w:val="739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20" w:default="1">
    <w:name w:val="Default Paragraph Font"/>
    <w:uiPriority w:val="1"/>
    <w:semiHidden/>
    <w:unhideWhenUsed/>
  </w:style>
  <w:style w:type="table" w:styleId="721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722" w:default="1">
    <w:name w:val="No List"/>
    <w:uiPriority w:val="99"/>
    <w:semiHidden/>
    <w:unhideWhenUsed/>
  </w:style>
  <w:style w:type="character" w:styleId="723" w:customStyle="1">
    <w:name w:val="Heading 6 Char"/>
    <w:basedOn w:val="720"/>
    <w:uiPriority w:val="9"/>
    <w:rPr>
      <w:rFonts w:ascii="Arial" w:hAnsi="Arial" w:eastAsia="Arial" w:cs="Arial"/>
      <w:b/>
      <w:bCs/>
      <w:sz w:val="22"/>
      <w:szCs w:val="22"/>
    </w:rPr>
  </w:style>
  <w:style w:type="character" w:styleId="724" w:customStyle="1">
    <w:name w:val="Heading 7 Char"/>
    <w:basedOn w:val="720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725" w:customStyle="1">
    <w:name w:val="Heading 8 Char"/>
    <w:basedOn w:val="720"/>
    <w:uiPriority w:val="9"/>
    <w:rPr>
      <w:rFonts w:ascii="Arial" w:hAnsi="Arial" w:eastAsia="Arial" w:cs="Arial"/>
      <w:i/>
      <w:iCs/>
      <w:sz w:val="22"/>
      <w:szCs w:val="22"/>
    </w:rPr>
  </w:style>
  <w:style w:type="character" w:styleId="726" w:customStyle="1">
    <w:name w:val="Heading 9 Char"/>
    <w:basedOn w:val="720"/>
    <w:uiPriority w:val="9"/>
    <w:rPr>
      <w:rFonts w:ascii="Arial" w:hAnsi="Arial" w:eastAsia="Arial" w:cs="Arial"/>
      <w:i/>
      <w:iCs/>
      <w:sz w:val="21"/>
      <w:szCs w:val="21"/>
    </w:rPr>
  </w:style>
  <w:style w:type="character" w:styleId="727" w:customStyle="1">
    <w:name w:val="Quote Char"/>
    <w:uiPriority w:val="29"/>
    <w:rPr>
      <w:i/>
    </w:rPr>
  </w:style>
  <w:style w:type="character" w:styleId="728" w:customStyle="1">
    <w:name w:val="Intense Quote Char"/>
    <w:uiPriority w:val="30"/>
    <w:rPr>
      <w:i/>
    </w:rPr>
  </w:style>
  <w:style w:type="character" w:styleId="729" w:customStyle="1">
    <w:name w:val="Footnote Text Char"/>
    <w:uiPriority w:val="99"/>
    <w:rPr>
      <w:sz w:val="18"/>
    </w:rPr>
  </w:style>
  <w:style w:type="character" w:styleId="730" w:customStyle="1">
    <w:name w:val="Endnote Text Char"/>
    <w:uiPriority w:val="99"/>
    <w:rPr>
      <w:sz w:val="20"/>
    </w:rPr>
  </w:style>
  <w:style w:type="character" w:styleId="731" w:customStyle="1">
    <w:name w:val="Heading 1 Char"/>
    <w:basedOn w:val="720"/>
    <w:uiPriority w:val="9"/>
    <w:rPr>
      <w:rFonts w:ascii="Arial" w:hAnsi="Arial" w:eastAsia="Arial" w:cs="Arial"/>
      <w:sz w:val="40"/>
      <w:szCs w:val="40"/>
    </w:rPr>
  </w:style>
  <w:style w:type="character" w:styleId="732" w:customStyle="1">
    <w:name w:val="Heading 2 Char"/>
    <w:basedOn w:val="720"/>
    <w:uiPriority w:val="9"/>
    <w:rPr>
      <w:rFonts w:ascii="Arial" w:hAnsi="Arial" w:eastAsia="Arial" w:cs="Arial"/>
      <w:sz w:val="34"/>
    </w:rPr>
  </w:style>
  <w:style w:type="character" w:styleId="733" w:customStyle="1">
    <w:name w:val="Heading 3 Char"/>
    <w:basedOn w:val="720"/>
    <w:uiPriority w:val="9"/>
    <w:rPr>
      <w:rFonts w:ascii="Arial" w:hAnsi="Arial" w:eastAsia="Arial" w:cs="Arial"/>
      <w:sz w:val="30"/>
      <w:szCs w:val="30"/>
    </w:rPr>
  </w:style>
  <w:style w:type="character" w:styleId="734" w:customStyle="1">
    <w:name w:val="Heading 4 Char"/>
    <w:basedOn w:val="720"/>
    <w:uiPriority w:val="9"/>
    <w:rPr>
      <w:rFonts w:ascii="Arial" w:hAnsi="Arial" w:eastAsia="Arial" w:cs="Arial"/>
      <w:b/>
      <w:bCs/>
      <w:sz w:val="26"/>
      <w:szCs w:val="26"/>
    </w:rPr>
  </w:style>
  <w:style w:type="character" w:styleId="735" w:customStyle="1">
    <w:name w:val="Heading 5 Char"/>
    <w:basedOn w:val="720"/>
    <w:uiPriority w:val="9"/>
    <w:rPr>
      <w:rFonts w:ascii="Arial" w:hAnsi="Arial" w:eastAsia="Arial" w:cs="Arial"/>
      <w:b/>
      <w:bCs/>
      <w:sz w:val="24"/>
      <w:szCs w:val="24"/>
    </w:rPr>
  </w:style>
  <w:style w:type="character" w:styleId="736" w:customStyle="1">
    <w:name w:val="Заголовок 6 Знак"/>
    <w:basedOn w:val="720"/>
    <w:link w:val="716"/>
    <w:uiPriority w:val="9"/>
    <w:rPr>
      <w:rFonts w:ascii="Arial" w:hAnsi="Arial" w:eastAsia="Arial" w:cs="Arial"/>
      <w:b/>
      <w:bCs/>
      <w:sz w:val="22"/>
      <w:szCs w:val="22"/>
    </w:rPr>
  </w:style>
  <w:style w:type="character" w:styleId="737" w:customStyle="1">
    <w:name w:val="Заголовок 7 Знак"/>
    <w:basedOn w:val="720"/>
    <w:link w:val="717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738" w:customStyle="1">
    <w:name w:val="Заголовок 8 Знак"/>
    <w:basedOn w:val="720"/>
    <w:link w:val="718"/>
    <w:uiPriority w:val="9"/>
    <w:rPr>
      <w:rFonts w:ascii="Arial" w:hAnsi="Arial" w:eastAsia="Arial" w:cs="Arial"/>
      <w:i/>
      <w:iCs/>
      <w:sz w:val="22"/>
      <w:szCs w:val="22"/>
    </w:rPr>
  </w:style>
  <w:style w:type="character" w:styleId="739" w:customStyle="1">
    <w:name w:val="Заголовок 9 Знак"/>
    <w:basedOn w:val="720"/>
    <w:link w:val="719"/>
    <w:uiPriority w:val="9"/>
    <w:rPr>
      <w:rFonts w:ascii="Arial" w:hAnsi="Arial" w:eastAsia="Arial" w:cs="Arial"/>
      <w:i/>
      <w:iCs/>
      <w:sz w:val="21"/>
      <w:szCs w:val="21"/>
    </w:rPr>
  </w:style>
  <w:style w:type="character" w:styleId="740" w:customStyle="1">
    <w:name w:val="Title Char"/>
    <w:basedOn w:val="720"/>
    <w:uiPriority w:val="10"/>
    <w:rPr>
      <w:sz w:val="48"/>
      <w:szCs w:val="48"/>
    </w:rPr>
  </w:style>
  <w:style w:type="character" w:styleId="741" w:customStyle="1">
    <w:name w:val="Subtitle Char"/>
    <w:basedOn w:val="720"/>
    <w:uiPriority w:val="11"/>
    <w:rPr>
      <w:sz w:val="24"/>
      <w:szCs w:val="24"/>
    </w:rPr>
  </w:style>
  <w:style w:type="paragraph" w:styleId="742">
    <w:name w:val="Quote"/>
    <w:basedOn w:val="710"/>
    <w:next w:val="710"/>
    <w:link w:val="743"/>
    <w:uiPriority w:val="29"/>
    <w:qFormat/>
    <w:pPr>
      <w:ind w:left="720" w:right="720"/>
    </w:pPr>
    <w:rPr>
      <w:i/>
    </w:rPr>
  </w:style>
  <w:style w:type="character" w:styleId="743" w:customStyle="1">
    <w:name w:val="Цитата 2 Знак"/>
    <w:link w:val="742"/>
    <w:uiPriority w:val="29"/>
    <w:rPr>
      <w:i/>
    </w:rPr>
  </w:style>
  <w:style w:type="paragraph" w:styleId="744">
    <w:name w:val="Intense Quote"/>
    <w:basedOn w:val="710"/>
    <w:next w:val="710"/>
    <w:link w:val="745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45" w:customStyle="1">
    <w:name w:val="Выделенная цитата Знак"/>
    <w:link w:val="744"/>
    <w:uiPriority w:val="30"/>
    <w:rPr>
      <w:i/>
    </w:rPr>
  </w:style>
  <w:style w:type="character" w:styleId="746" w:customStyle="1">
    <w:name w:val="Header Char"/>
    <w:basedOn w:val="720"/>
    <w:uiPriority w:val="99"/>
  </w:style>
  <w:style w:type="character" w:styleId="747" w:customStyle="1">
    <w:name w:val="Footer Char"/>
    <w:basedOn w:val="720"/>
    <w:uiPriority w:val="99"/>
  </w:style>
  <w:style w:type="paragraph" w:styleId="748">
    <w:name w:val="Caption"/>
    <w:basedOn w:val="710"/>
    <w:next w:val="710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styleId="749" w:customStyle="1">
    <w:name w:val="Caption Char"/>
    <w:uiPriority w:val="99"/>
  </w:style>
  <w:style w:type="table" w:styleId="750" w:customStyle="1">
    <w:name w:val="Table Grid Light"/>
    <w:basedOn w:val="721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</w:style>
  <w:style w:type="table" w:styleId="751">
    <w:name w:val="Plain Table 1"/>
    <w:basedOn w:val="721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52">
    <w:name w:val="Plain Table 2"/>
    <w:basedOn w:val="721"/>
    <w:uiPriority w:val="59"/>
    <w:pPr>
      <w:spacing w:after="0" w:line="240" w:lineRule="auto"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53">
    <w:name w:val="Plain Table 3"/>
    <w:basedOn w:val="721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54">
    <w:name w:val="Plain Table 4"/>
    <w:basedOn w:val="721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5">
    <w:name w:val="Plain Table 5"/>
    <w:basedOn w:val="721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56">
    <w:name w:val="Grid Table 1 Light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7" w:customStyle="1">
    <w:name w:val="Grid Table 1 Light - Accent 1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BCD6EE" w:themeColor="accent1" w:themeTint="67" w:sz="4" w:space="0"/>
        <w:left w:val="single" w:color="BCD6EE" w:themeColor="accent1" w:themeTint="67" w:sz="4" w:space="0"/>
        <w:bottom w:val="single" w:color="BCD6EE" w:themeColor="accent1" w:themeTint="67" w:sz="4" w:space="0"/>
        <w:right w:val="single" w:color="BCD6EE" w:themeColor="accent1" w:themeTint="67" w:sz="4" w:space="0"/>
        <w:insideH w:val="single" w:color="BCD6EE" w:themeColor="accent1" w:themeTint="67" w:sz="4" w:space="0"/>
        <w:insideV w:val="single" w:color="BCD6EE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CD6EE" w:themeColor="accent1" w:themeTint="67" w:sz="4" w:space="0"/>
          <w:left w:val="single" w:color="BCD6EE" w:themeColor="accent1" w:themeTint="67" w:sz="4" w:space="0"/>
          <w:bottom w:val="single" w:color="BCD6EE" w:themeColor="accent1" w:themeTint="67" w:sz="4" w:space="0"/>
          <w:right w:val="single" w:color="BCD6EE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EC4E6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 w:customStyle="1">
    <w:name w:val="Grid Table 1 Light - Accent 2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7CAAB" w:themeColor="accent2" w:themeTint="67" w:sz="4" w:space="0"/>
        <w:left w:val="single" w:color="F7CAAB" w:themeColor="accent2" w:themeTint="67" w:sz="4" w:space="0"/>
        <w:bottom w:val="single" w:color="F7CAAB" w:themeColor="accent2" w:themeTint="67" w:sz="4" w:space="0"/>
        <w:right w:val="single" w:color="F7CAAB" w:themeColor="accent2" w:themeTint="67" w:sz="4" w:space="0"/>
        <w:insideH w:val="single" w:color="F7CAAB" w:themeColor="accent2" w:themeTint="67" w:sz="4" w:space="0"/>
        <w:insideV w:val="single" w:color="F7CAAB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7CAAB" w:themeColor="accent2" w:themeTint="67" w:sz="4" w:space="0"/>
          <w:left w:val="single" w:color="F7CAAB" w:themeColor="accent2" w:themeTint="67" w:sz="4" w:space="0"/>
          <w:bottom w:val="single" w:color="F7CAAB" w:themeColor="accent2" w:themeTint="67" w:sz="4" w:space="0"/>
          <w:right w:val="single" w:color="F7CAAB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4B28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 w:customStyle="1">
    <w:name w:val="Grid Table 1 Light - Accent 3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DADADA" w:themeColor="accent3" w:themeTint="67" w:sz="4" w:space="0"/>
        <w:left w:val="single" w:color="DADADA" w:themeColor="accent3" w:themeTint="67" w:sz="4" w:space="0"/>
        <w:bottom w:val="single" w:color="DADADA" w:themeColor="accent3" w:themeTint="67" w:sz="4" w:space="0"/>
        <w:right w:val="single" w:color="DADADA" w:themeColor="accent3" w:themeTint="67" w:sz="4" w:space="0"/>
        <w:insideH w:val="single" w:color="DADADA" w:themeColor="accent3" w:themeTint="67" w:sz="4" w:space="0"/>
        <w:insideV w:val="single" w:color="DADADA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ADADA" w:themeColor="accent3" w:themeTint="67" w:sz="4" w:space="0"/>
          <w:left w:val="single" w:color="DADADA" w:themeColor="accent3" w:themeTint="67" w:sz="4" w:space="0"/>
          <w:bottom w:val="single" w:color="DADADA" w:themeColor="accent3" w:themeTint="67" w:sz="4" w:space="0"/>
          <w:right w:val="single" w:color="DADADA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ACACA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 w:customStyle="1">
    <w:name w:val="Grid Table 1 Light - Accent 4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E598" w:themeColor="accent4" w:themeTint="67" w:sz="4" w:space="0"/>
        <w:left w:val="single" w:color="FFE598" w:themeColor="accent4" w:themeTint="67" w:sz="4" w:space="0"/>
        <w:bottom w:val="single" w:color="FFE598" w:themeColor="accent4" w:themeTint="67" w:sz="4" w:space="0"/>
        <w:right w:val="single" w:color="FFE598" w:themeColor="accent4" w:themeTint="67" w:sz="4" w:space="0"/>
        <w:insideH w:val="single" w:color="FFE598" w:themeColor="accent4" w:themeTint="67" w:sz="4" w:space="0"/>
        <w:insideV w:val="single" w:color="FFE598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FE598" w:themeColor="accent4" w:themeTint="67" w:sz="4" w:space="0"/>
          <w:left w:val="single" w:color="FFE598" w:themeColor="accent4" w:themeTint="67" w:sz="4" w:space="0"/>
          <w:bottom w:val="single" w:color="FFE598" w:themeColor="accent4" w:themeTint="67" w:sz="4" w:space="0"/>
          <w:right w:val="single" w:color="FFE598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FDA6A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 w:customStyle="1">
    <w:name w:val="Grid Table 1 Light - Accent 5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B3C5E7" w:themeColor="accent5" w:themeTint="67" w:sz="4" w:space="0"/>
        <w:left w:val="single" w:color="B3C5E7" w:themeColor="accent5" w:themeTint="67" w:sz="4" w:space="0"/>
        <w:bottom w:val="single" w:color="B3C5E7" w:themeColor="accent5" w:themeTint="67" w:sz="4" w:space="0"/>
        <w:right w:val="single" w:color="B3C5E7" w:themeColor="accent5" w:themeTint="67" w:sz="4" w:space="0"/>
        <w:insideH w:val="single" w:color="B3C5E7" w:themeColor="accent5" w:themeTint="67" w:sz="4" w:space="0"/>
        <w:insideV w:val="single" w:color="B3C5E7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3C5E7" w:themeColor="accent5" w:themeTint="67" w:sz="4" w:space="0"/>
          <w:left w:val="single" w:color="B3C5E7" w:themeColor="accent5" w:themeTint="67" w:sz="4" w:space="0"/>
          <w:bottom w:val="single" w:color="B3C5E7" w:themeColor="accent5" w:themeTint="67" w:sz="4" w:space="0"/>
          <w:right w:val="single" w:color="B3C5E7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1ACDC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 w:customStyle="1">
    <w:name w:val="Grid Table 1 Light - Accent 6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C4DFB2" w:themeColor="accent6" w:themeTint="67" w:sz="4" w:space="0"/>
        <w:left w:val="single" w:color="C4DFB2" w:themeColor="accent6" w:themeTint="67" w:sz="4" w:space="0"/>
        <w:bottom w:val="single" w:color="C4DFB2" w:themeColor="accent6" w:themeTint="67" w:sz="4" w:space="0"/>
        <w:right w:val="single" w:color="C4DFB2" w:themeColor="accent6" w:themeTint="67" w:sz="4" w:space="0"/>
        <w:insideH w:val="single" w:color="C4DFB2" w:themeColor="accent6" w:themeTint="67" w:sz="4" w:space="0"/>
        <w:insideV w:val="single" w:color="C4DFB2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4DFB2" w:themeColor="accent6" w:themeTint="67" w:sz="4" w:space="0"/>
          <w:left w:val="single" w:color="C4DFB2" w:themeColor="accent6" w:themeTint="67" w:sz="4" w:space="0"/>
          <w:bottom w:val="single" w:color="C4DFB2" w:themeColor="accent6" w:themeTint="67" w:sz="4" w:space="0"/>
          <w:right w:val="single" w:color="C4DFB2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AAD19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Grid Table 2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 w:customStyle="1">
    <w:name w:val="Grid Table 2 - Accent 1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8A2D8" w:themeColor="accent1" w:themeTint="EA" w:sz="4" w:space="0"/>
        <w:insideH w:val="single" w:color="68A2D8" w:themeColor="accent1" w:themeTint="EA" w:sz="4" w:space="0"/>
        <w:insideV w:val="single" w:color="68A2D8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8A2D8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8A2D8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 w:customStyle="1">
    <w:name w:val="Grid Table 2 - Accent 2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4B184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4B184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 w:customStyle="1">
    <w:name w:val="Grid Table 2 - Accent 3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A5A5A5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A5A5A5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 w:customStyle="1">
    <w:name w:val="Grid Table 2 - Accent 4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FD865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FD865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 w:customStyle="1">
    <w:name w:val="Grid Table 2 - Accent 5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472C4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4472C4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 w:customStyle="1">
    <w:name w:val="Grid Table 2 - Accent 6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70AD47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70AD47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>
    <w:name w:val="Grid Table 3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 w:customStyle="1">
    <w:name w:val="Grid Table 3 - Accent 1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8A2D8" w:themeColor="accent1" w:themeTint="EA" w:sz="4" w:space="0"/>
        <w:insideH w:val="single" w:color="68A2D8" w:themeColor="accent1" w:themeTint="EA" w:sz="4" w:space="0"/>
        <w:insideV w:val="single" w:color="68A2D8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2" w:customStyle="1">
    <w:name w:val="Grid Table 3 - Accent 2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3" w:customStyle="1">
    <w:name w:val="Grid Table 3 - Accent 3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4" w:customStyle="1">
    <w:name w:val="Grid Table 3 - Accent 4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5" w:customStyle="1">
    <w:name w:val="Grid Table 3 - Accent 5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6" w:customStyle="1">
    <w:name w:val="Grid Table 3 - Accent 6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7">
    <w:name w:val="Grid Table 4"/>
    <w:basedOn w:val="721"/>
    <w:uiPriority w:val="5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8" w:customStyle="1">
    <w:name w:val="Grid Table 4 - Accent 1"/>
    <w:basedOn w:val="721"/>
    <w:uiPriority w:val="59"/>
    <w:pPr>
      <w:spacing w:after="0" w:line="240" w:lineRule="auto"/>
    </w:pPr>
    <w:tblPr>
      <w:tblStyleRowBandSize w:val="1"/>
      <w:tblStyleColBandSize w:val="1"/>
      <w:tblBorders>
        <w:top w:val="single" w:color="A2C6E7" w:themeColor="accent1" w:themeTint="90" w:sz="4" w:space="0"/>
        <w:left w:val="single" w:color="A2C6E7" w:themeColor="accent1" w:themeTint="90" w:sz="4" w:space="0"/>
        <w:bottom w:val="single" w:color="A2C6E7" w:themeColor="accent1" w:themeTint="90" w:sz="4" w:space="0"/>
        <w:right w:val="single" w:color="A2C6E7" w:themeColor="accent1" w:themeTint="90" w:sz="4" w:space="0"/>
        <w:insideH w:val="single" w:color="A2C6E7" w:themeColor="accent1" w:themeTint="90" w:sz="4" w:space="0"/>
        <w:insideV w:val="single" w:color="A2C6E7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eebf6" w:themeColor="accent1" w:themeTint="32" w:fill="de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eebf6" w:themeColor="accent1" w:themeTint="32" w:fill="de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68a2d8" w:themeColor="accent1" w:themeTint="EA" w:fill="68a2d8" w:themeFill="accent1" w:themeFillTint="EA"/>
        <w:tcBorders>
          <w:top w:val="single" w:color="68A2D8" w:themeColor="accent1" w:themeTint="EA" w:sz="4" w:space="0"/>
          <w:left w:val="single" w:color="68A2D8" w:themeColor="accent1" w:themeTint="EA" w:sz="4" w:space="0"/>
          <w:bottom w:val="single" w:color="68A2D8" w:themeColor="accent1" w:themeTint="EA" w:sz="4" w:space="0"/>
          <w:right w:val="single" w:color="68A2D8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68A2D8" w:themeColor="accent1" w:themeTint="EA" w:sz="4" w:space="0"/>
        </w:tcBorders>
      </w:tcPr>
    </w:tblStylePr>
  </w:style>
  <w:style w:type="table" w:styleId="779" w:customStyle="1">
    <w:name w:val="Grid Table 4 - Accent 2"/>
    <w:basedOn w:val="721"/>
    <w:uiPriority w:val="59"/>
    <w:pPr>
      <w:spacing w:after="0" w:line="240" w:lineRule="auto"/>
    </w:pPr>
    <w:tblPr>
      <w:tblStyleRowBandSize w:val="1"/>
      <w:tblStyleColBandSize w:val="1"/>
      <w:tblBorders>
        <w:top w:val="single" w:color="F4B58A" w:themeColor="accent2" w:themeTint="90" w:sz="4" w:space="0"/>
        <w:left w:val="single" w:color="F4B58A" w:themeColor="accent2" w:themeTint="90" w:sz="4" w:space="0"/>
        <w:bottom w:val="single" w:color="F4B58A" w:themeColor="accent2" w:themeTint="90" w:sz="4" w:space="0"/>
        <w:right w:val="single" w:color="F4B58A" w:themeColor="accent2" w:themeTint="90" w:sz="4" w:space="0"/>
        <w:insideH w:val="single" w:color="F4B58A" w:themeColor="accent2" w:themeTint="90" w:sz="4" w:space="0"/>
        <w:insideV w:val="single" w:color="F4B58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4b184" w:themeColor="accent2" w:themeTint="97" w:fill="f4b184" w:themeFill="accent2" w:themeFillTint="97"/>
        <w:tcBorders>
          <w:top w:val="single" w:color="F4B184" w:themeColor="accent2" w:themeTint="97" w:sz="4" w:space="0"/>
          <w:left w:val="single" w:color="F4B184" w:themeColor="accent2" w:themeTint="97" w:sz="4" w:space="0"/>
          <w:bottom w:val="single" w:color="F4B184" w:themeColor="accent2" w:themeTint="97" w:sz="4" w:space="0"/>
          <w:right w:val="single" w:color="F4B184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4B184" w:themeColor="accent2" w:themeTint="97" w:sz="4" w:space="0"/>
        </w:tcBorders>
      </w:tcPr>
    </w:tblStylePr>
  </w:style>
  <w:style w:type="table" w:styleId="780" w:customStyle="1">
    <w:name w:val="Grid Table 4 - Accent 3"/>
    <w:basedOn w:val="721"/>
    <w:uiPriority w:val="59"/>
    <w:pPr>
      <w:spacing w:after="0" w:line="240" w:lineRule="auto"/>
    </w:pPr>
    <w:tblPr>
      <w:tblStyleRowBandSize w:val="1"/>
      <w:tblStyleColBandSize w:val="1"/>
      <w:tblBorders>
        <w:top w:val="single" w:color="CCCCCC" w:themeColor="accent3" w:themeTint="90" w:sz="4" w:space="0"/>
        <w:left w:val="single" w:color="CCCCCC" w:themeColor="accent3" w:themeTint="90" w:sz="4" w:space="0"/>
        <w:bottom w:val="single" w:color="CCCCCC" w:themeColor="accent3" w:themeTint="90" w:sz="4" w:space="0"/>
        <w:right w:val="single" w:color="CCCCCC" w:themeColor="accent3" w:themeTint="90" w:sz="4" w:space="0"/>
        <w:insideH w:val="single" w:color="CCCCCC" w:themeColor="accent3" w:themeTint="90" w:sz="4" w:space="0"/>
        <w:insideV w:val="single" w:color="CCCCCC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5a5a5" w:themeColor="accent3" w:themeTint="FE" w:fill="a5a5a5" w:themeFill="accent3" w:themeFillTint="FE"/>
        <w:tcBorders>
          <w:top w:val="single" w:color="A5A5A5" w:themeColor="accent3" w:themeTint="FE" w:sz="4" w:space="0"/>
          <w:left w:val="single" w:color="A5A5A5" w:themeColor="accent3" w:themeTint="FE" w:sz="4" w:space="0"/>
          <w:bottom w:val="single" w:color="A5A5A5" w:themeColor="accent3" w:themeTint="FE" w:sz="4" w:space="0"/>
          <w:right w:val="single" w:color="A5A5A5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A5A5A5" w:themeColor="accent3" w:themeTint="FE" w:sz="4" w:space="0"/>
        </w:tcBorders>
      </w:tcPr>
    </w:tblStylePr>
  </w:style>
  <w:style w:type="table" w:styleId="781" w:customStyle="1">
    <w:name w:val="Grid Table 4 - Accent 4"/>
    <w:basedOn w:val="721"/>
    <w:uiPriority w:val="59"/>
    <w:pPr>
      <w:spacing w:after="0" w:line="240" w:lineRule="auto"/>
    </w:pPr>
    <w:tblPr>
      <w:tblStyleRowBandSize w:val="1"/>
      <w:tblStyleColBandSize w:val="1"/>
      <w:tblBorders>
        <w:top w:val="single" w:color="FFDB6F" w:themeColor="accent4" w:themeTint="90" w:sz="4" w:space="0"/>
        <w:left w:val="single" w:color="FFDB6F" w:themeColor="accent4" w:themeTint="90" w:sz="4" w:space="0"/>
        <w:bottom w:val="single" w:color="FFDB6F" w:themeColor="accent4" w:themeTint="90" w:sz="4" w:space="0"/>
        <w:right w:val="single" w:color="FFDB6F" w:themeColor="accent4" w:themeTint="90" w:sz="4" w:space="0"/>
        <w:insideH w:val="single" w:color="FFDB6F" w:themeColor="accent4" w:themeTint="90" w:sz="4" w:space="0"/>
        <w:insideV w:val="single" w:color="FFDB6F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d865" w:themeColor="accent4" w:themeTint="9A" w:fill="ffd865" w:themeFill="accent4" w:themeFillTint="9A"/>
        <w:tcBorders>
          <w:top w:val="single" w:color="FFD865" w:themeColor="accent4" w:themeTint="9A" w:sz="4" w:space="0"/>
          <w:left w:val="single" w:color="FFD865" w:themeColor="accent4" w:themeTint="9A" w:sz="4" w:space="0"/>
          <w:bottom w:val="single" w:color="FFD865" w:themeColor="accent4" w:themeTint="9A" w:sz="4" w:space="0"/>
          <w:right w:val="single" w:color="FFD865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FD865" w:themeColor="accent4" w:themeTint="9A" w:sz="4" w:space="0"/>
        </w:tcBorders>
      </w:tcPr>
    </w:tblStylePr>
  </w:style>
  <w:style w:type="table" w:styleId="782" w:customStyle="1">
    <w:name w:val="Grid Table 4 - Accent 5"/>
    <w:basedOn w:val="721"/>
    <w:uiPriority w:val="59"/>
    <w:pPr>
      <w:spacing w:after="0" w:line="240" w:lineRule="auto"/>
    </w:pPr>
    <w:tblPr>
      <w:tblStyleRowBandSize w:val="1"/>
      <w:tblStyleColBandSize w:val="1"/>
      <w:tblBorders>
        <w:top w:val="single" w:color="95AFDD" w:themeColor="accent5" w:themeTint="90" w:sz="4" w:space="0"/>
        <w:left w:val="single" w:color="95AFDD" w:themeColor="accent5" w:themeTint="90" w:sz="4" w:space="0"/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  <w:insideV w:val="single" w:color="95AFDD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  <w:tcBorders>
          <w:top w:val="single" w:color="4472C4" w:themeColor="accent5" w:sz="4" w:space="0"/>
          <w:left w:val="single" w:color="4472C4" w:themeColor="accent5" w:sz="4" w:space="0"/>
          <w:bottom w:val="single" w:color="4472C4" w:themeColor="accent5" w:sz="4" w:space="0"/>
          <w:right w:val="single" w:color="4472C4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472C4" w:themeColor="accent5" w:sz="4" w:space="0"/>
        </w:tcBorders>
      </w:tcPr>
    </w:tblStylePr>
  </w:style>
  <w:style w:type="table" w:styleId="783" w:customStyle="1">
    <w:name w:val="Grid Table 4 - Accent 6"/>
    <w:basedOn w:val="721"/>
    <w:uiPriority w:val="59"/>
    <w:pPr>
      <w:spacing w:after="0" w:line="240" w:lineRule="auto"/>
    </w:pPr>
    <w:tblPr>
      <w:tblStyleRowBandSize w:val="1"/>
      <w:tblStyleColBandSize w:val="1"/>
      <w:tblBorders>
        <w:top w:val="single" w:color="ADD394" w:themeColor="accent6" w:themeTint="90" w:sz="4" w:space="0"/>
        <w:left w:val="single" w:color="ADD394" w:themeColor="accent6" w:themeTint="90" w:sz="4" w:space="0"/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  <w:insideV w:val="single" w:color="ADD394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  <w:tcBorders>
          <w:top w:val="single" w:color="70AD47" w:themeColor="accent6" w:sz="4" w:space="0"/>
          <w:left w:val="single" w:color="70AD47" w:themeColor="accent6" w:sz="4" w:space="0"/>
          <w:bottom w:val="single" w:color="70AD47" w:themeColor="accent6" w:sz="4" w:space="0"/>
          <w:right w:val="single" w:color="70AD47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70AD47" w:themeColor="accent6" w:sz="4" w:space="0"/>
        </w:tcBorders>
      </w:tcPr>
    </w:tblStylePr>
  </w:style>
  <w:style w:type="table" w:styleId="784">
    <w:name w:val="Grid Table 5 Dark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785" w:customStyle="1">
    <w:name w:val="Grid Table 5 Dark- Accent 1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deaf6" w:themeColor="accent1" w:themeTint="34" w:fill="ddeaf6" w:themeFill="accent1" w:themeFillTint="34"/>
    </w:tblPr>
    <w:tblStylePr w:type="band1Horz">
      <w:tcPr>
        <w:shd w:val="clear" w:color="b3d0eb" w:themeColor="accent1" w:themeTint="75" w:fill="b3d0eb" w:themeFill="accent1" w:themeFillTint="75"/>
      </w:tcPr>
    </w:tblStylePr>
    <w:tblStylePr w:type="band1Vert">
      <w:tcPr>
        <w:shd w:val="clear" w:color="b3d0eb" w:themeColor="accent1" w:themeTint="75" w:fill="b3d0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  <w:tcBorders>
          <w:top w:val="single" w:color="FFFFFF" w:themeColor="light1" w:sz="4" w:space="0"/>
        </w:tcBorders>
      </w:tcPr>
    </w:tblStylePr>
  </w:style>
  <w:style w:type="table" w:styleId="786" w:customStyle="1">
    <w:name w:val="Grid Table 5 Dark - Accent 2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be5d6" w:themeColor="accent2" w:themeTint="32" w:fill="fbe5d6" w:themeFill="accent2" w:themeFillTint="32"/>
    </w:tblPr>
    <w:tblStylePr w:type="band1Horz">
      <w:tcPr>
        <w:shd w:val="clear" w:color="f6c3a0" w:themeColor="accent2" w:themeTint="75" w:fill="f6c3a0" w:themeFill="accent2" w:themeFillTint="75"/>
      </w:tcPr>
    </w:tblStylePr>
    <w:tblStylePr w:type="band1Vert">
      <w:tcPr>
        <w:shd w:val="clear" w:color="f6c3a0" w:themeColor="accent2" w:themeTint="75" w:fill="f6c3a0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  <w:tcBorders>
          <w:top w:val="single" w:color="FFFFFF" w:themeColor="light1" w:sz="4" w:space="0"/>
        </w:tcBorders>
      </w:tcPr>
    </w:tblStylePr>
  </w:style>
  <w:style w:type="table" w:styleId="787" w:customStyle="1">
    <w:name w:val="Grid Table 5 Dark - Accent 3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cecec" w:themeColor="accent3" w:themeTint="34" w:fill="ececec" w:themeFill="accent3" w:themeFillTint="34"/>
    </w:tblPr>
    <w:tblStylePr w:type="band1Horz">
      <w:tcPr>
        <w:shd w:val="clear" w:color="d5d5d5" w:themeColor="accent3" w:themeTint="75" w:fill="d5d5d5" w:themeFill="accent3" w:themeFillTint="75"/>
      </w:tcPr>
    </w:tblStylePr>
    <w:tblStylePr w:type="band1Vert">
      <w:tcPr>
        <w:shd w:val="clear" w:color="d5d5d5" w:themeColor="accent3" w:themeTint="75" w:fill="d5d5d5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  <w:tcBorders>
          <w:top w:val="single" w:color="FFFFFF" w:themeColor="light1" w:sz="4" w:space="0"/>
        </w:tcBorders>
      </w:tcPr>
    </w:tblStylePr>
  </w:style>
  <w:style w:type="table" w:styleId="788" w:customStyle="1">
    <w:name w:val="Grid Table 5 Dark- Accent 4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ff2cb" w:themeColor="accent4" w:themeTint="34" w:fill="fff2cb" w:themeFill="accent4" w:themeFillTint="34"/>
    </w:tblPr>
    <w:tblStylePr w:type="band1Horz">
      <w:tcPr>
        <w:shd w:val="clear" w:color="ffe28a" w:themeColor="accent4" w:themeTint="75" w:fill="ffe28a" w:themeFill="accent4" w:themeFillTint="75"/>
      </w:tcPr>
    </w:tblStylePr>
    <w:tblStylePr w:type="band1Vert">
      <w:tcPr>
        <w:shd w:val="clear" w:color="ffe28a" w:themeColor="accent4" w:themeTint="75" w:fill="ffe28a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  <w:tcBorders>
          <w:top w:val="single" w:color="FFFFFF" w:themeColor="light1" w:sz="4" w:space="0"/>
        </w:tcBorders>
      </w:tcPr>
    </w:tblStylePr>
  </w:style>
  <w:style w:type="table" w:styleId="789" w:customStyle="1">
    <w:name w:val="Grid Table 5 Dark - Accent 5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8e2f3" w:themeColor="accent5" w:themeTint="34" w:fill="d8e2f3" w:themeFill="accent5" w:themeFillTint="34"/>
    </w:tblPr>
    <w:tblStylePr w:type="band1Horz">
      <w:tcPr>
        <w:shd w:val="clear" w:color="a9bee4" w:themeColor="accent5" w:themeTint="75" w:fill="a9bee4" w:themeFill="accent5" w:themeFillTint="75"/>
      </w:tcPr>
    </w:tblStylePr>
    <w:tblStylePr w:type="band1Vert">
      <w:tcPr>
        <w:shd w:val="clear" w:color="a9bee4" w:themeColor="accent5" w:themeTint="75" w:fill="a9be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  <w:tcBorders>
          <w:top w:val="single" w:color="FFFFFF" w:themeColor="light1" w:sz="4" w:space="0"/>
        </w:tcBorders>
      </w:tcPr>
    </w:tblStylePr>
  </w:style>
  <w:style w:type="table" w:styleId="790" w:customStyle="1">
    <w:name w:val="Grid Table 5 Dark - Accent 6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1efd8" w:themeColor="accent6" w:themeTint="34" w:fill="e1efd8" w:themeFill="accent6" w:themeFillTint="34"/>
    </w:tblPr>
    <w:tblStylePr w:type="band1Horz">
      <w:tcPr>
        <w:shd w:val="clear" w:color="bcdba8" w:themeColor="accent6" w:themeTint="75" w:fill="bcdba8" w:themeFill="accent6" w:themeFillTint="75"/>
      </w:tcPr>
    </w:tblStylePr>
    <w:tblStylePr w:type="band1Vert">
      <w:tcPr>
        <w:shd w:val="clear" w:color="bcdba8" w:themeColor="accent6" w:themeTint="75" w:fill="bc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  <w:tcBorders>
          <w:top w:val="single" w:color="FFFFFF" w:themeColor="light1" w:sz="4" w:space="0"/>
        </w:tcBorders>
      </w:tcPr>
    </w:tblStylePr>
  </w:style>
  <w:style w:type="table" w:styleId="791">
    <w:name w:val="Grid Table 6 Colorful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792" w:customStyle="1">
    <w:name w:val="Grid Table 6 Colorful - Accent 1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ACCCEA" w:themeColor="accent1" w:themeTint="80" w:sz="4" w:space="0"/>
        <w:left w:val="single" w:color="ACCCEA" w:themeColor="accent1" w:themeTint="80" w:sz="4" w:space="0"/>
        <w:bottom w:val="single" w:color="ACCCEA" w:themeColor="accent1" w:themeTint="80" w:sz="4" w:space="0"/>
        <w:right w:val="single" w:color="ACCCEA" w:themeColor="accent1" w:themeTint="80" w:sz="4" w:space="0"/>
        <w:insideH w:val="single" w:color="ACCCEA" w:themeColor="accent1" w:themeTint="80" w:sz="4" w:space="0"/>
        <w:insideV w:val="single" w:color="ACCCEA" w:themeColor="accent1" w:themeTint="80" w:sz="4" w:space="0"/>
      </w:tblBorders>
    </w:tblPr>
    <w:tblStylePr w:type="band1Horz">
      <w:rPr>
        <w:rFonts w:ascii="Arial" w:hAnsi="Arial"/>
        <w:color w:val="acccea" w:themeColor="accent1" w:themeTint="80" w:themeShade="95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  <w:tblStylePr w:type="firstCol">
      <w:rPr>
        <w:b/>
        <w:color w:val="acccea" w:themeColor="accent1" w:themeTint="80" w:themeShade="95"/>
      </w:rPr>
    </w:tblStylePr>
    <w:tblStylePr w:type="firstRow">
      <w:rPr>
        <w:b/>
        <w:color w:val="acccea" w:themeColor="accent1" w:themeTint="80" w:themeShade="95"/>
      </w:rPr>
      <w:tcPr>
        <w:tcBorders>
          <w:bottom w:val="single" w:color="ACCCEA" w:themeColor="accent1" w:themeTint="80" w:sz="12" w:space="0"/>
        </w:tcBorders>
      </w:tcPr>
    </w:tblStylePr>
    <w:tblStylePr w:type="lastCol">
      <w:rPr>
        <w:b/>
        <w:color w:val="acccea" w:themeColor="accent1" w:themeTint="80" w:themeShade="95"/>
      </w:rPr>
    </w:tblStylePr>
    <w:tblStylePr w:type="lastRow">
      <w:rPr>
        <w:b/>
        <w:color w:val="acccea" w:themeColor="accent1" w:themeTint="80" w:themeShade="95"/>
      </w:rPr>
    </w:tblStylePr>
  </w:style>
  <w:style w:type="table" w:styleId="793" w:customStyle="1">
    <w:name w:val="Grid Table 6 Colorful - Accent 2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4" w:space="0"/>
        <w:left w:val="single" w:color="F4B184" w:themeColor="accent2" w:themeTint="97" w:sz="4" w:space="0"/>
        <w:bottom w:val="single" w:color="F4B184" w:themeColor="accent2" w:themeTint="97" w:sz="4" w:space="0"/>
        <w:right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b/>
        <w:color w:val="f4b184" w:themeColor="accent2" w:themeTint="97" w:themeShade="95"/>
      </w:rPr>
    </w:tblStylePr>
    <w:tblStylePr w:type="firstRow">
      <w:rPr>
        <w:b/>
        <w:color w:val="f4b184" w:themeColor="accent2" w:themeTint="97" w:themeShade="95"/>
      </w:rPr>
      <w:tcPr>
        <w:tcBorders>
          <w:bottom w:val="single" w:color="F4B184" w:themeColor="accent2" w:themeTint="97" w:sz="12" w:space="0"/>
        </w:tcBorders>
      </w:tcPr>
    </w:tblStylePr>
    <w:tblStylePr w:type="lastCol">
      <w:rPr>
        <w:b/>
        <w:color w:val="f4b184" w:themeColor="accent2" w:themeTint="97" w:themeShade="95"/>
      </w:rPr>
    </w:tblStylePr>
    <w:tblStylePr w:type="lastRow">
      <w:rPr>
        <w:b/>
        <w:color w:val="f4b184" w:themeColor="accent2" w:themeTint="97" w:themeShade="95"/>
      </w:rPr>
    </w:tblStylePr>
  </w:style>
  <w:style w:type="table" w:styleId="794" w:customStyle="1">
    <w:name w:val="Grid Table 6 Colorful - Accent 3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A5A5A5" w:themeColor="accent3" w:themeTint="FE" w:sz="4" w:space="0"/>
        <w:left w:val="single" w:color="A5A5A5" w:themeColor="accent3" w:themeTint="FE" w:sz="4" w:space="0"/>
        <w:bottom w:val="single" w:color="A5A5A5" w:themeColor="accent3" w:themeTint="FE" w:sz="4" w:space="0"/>
        <w:right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a5a5a5" w:themeColor="accent3" w:themeTint="FE" w:themeShade="95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  <w:tblStylePr w:type="firstCol">
      <w:rPr>
        <w:b/>
        <w:color w:val="a5a5a5" w:themeColor="accent3" w:themeTint="FE" w:themeShade="95"/>
      </w:rPr>
    </w:tblStylePr>
    <w:tblStylePr w:type="firstRow">
      <w:rPr>
        <w:b/>
        <w:color w:val="a5a5a5" w:themeColor="accent3" w:themeTint="FE" w:themeShade="95"/>
      </w:rPr>
      <w:tcPr>
        <w:tcBorders>
          <w:bottom w:val="single" w:color="A5A5A5" w:themeColor="accent3" w:themeTint="FE" w:sz="12" w:space="0"/>
        </w:tcBorders>
      </w:tcPr>
    </w:tblStylePr>
    <w:tblStylePr w:type="lastCol">
      <w:rPr>
        <w:b/>
        <w:color w:val="a5a5a5" w:themeColor="accent3" w:themeTint="FE" w:themeShade="95"/>
      </w:rPr>
    </w:tblStylePr>
    <w:tblStylePr w:type="lastRow">
      <w:rPr>
        <w:b/>
        <w:color w:val="a5a5a5" w:themeColor="accent3" w:themeTint="FE" w:themeShade="95"/>
      </w:rPr>
    </w:tblStylePr>
  </w:style>
  <w:style w:type="table" w:styleId="795" w:customStyle="1">
    <w:name w:val="Grid Table 6 Colorful - Accent 4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4" w:space="0"/>
        <w:left w:val="single" w:color="FFD865" w:themeColor="accent4" w:themeTint="9A" w:sz="4" w:space="0"/>
        <w:bottom w:val="single" w:color="FFD865" w:themeColor="accent4" w:themeTint="9A" w:sz="4" w:space="0"/>
        <w:right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b/>
        <w:color w:val="ffd865" w:themeColor="accent4" w:themeTint="9A" w:themeShade="95"/>
      </w:rPr>
    </w:tblStylePr>
    <w:tblStylePr w:type="firstRow">
      <w:rPr>
        <w:b/>
        <w:color w:val="ffd865" w:themeColor="accent4" w:themeTint="9A" w:themeShade="95"/>
      </w:rPr>
      <w:tcPr>
        <w:tcBorders>
          <w:bottom w:val="single" w:color="FFD865" w:themeColor="accent4" w:themeTint="9A" w:sz="12" w:space="0"/>
        </w:tcBorders>
      </w:tcPr>
    </w:tblStylePr>
    <w:tblStylePr w:type="lastCol">
      <w:rPr>
        <w:b/>
        <w:color w:val="ffd865" w:themeColor="accent4" w:themeTint="9A" w:themeShade="95"/>
      </w:rPr>
    </w:tblStylePr>
    <w:tblStylePr w:type="lastRow">
      <w:rPr>
        <w:b/>
        <w:color w:val="ffd865" w:themeColor="accent4" w:themeTint="9A" w:themeShade="95"/>
      </w:rPr>
    </w:tblStylePr>
  </w:style>
  <w:style w:type="table" w:styleId="796" w:customStyle="1">
    <w:name w:val="Grid Table 6 Colorful - Accent 5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4472C4" w:themeColor="accent5" w:sz="4" w:space="0"/>
        <w:left w:val="single" w:color="4472C4" w:themeColor="accent5" w:sz="4" w:space="0"/>
        <w:bottom w:val="single" w:color="4472C4" w:themeColor="accent5" w:sz="4" w:space="0"/>
        <w:right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</w:tblPr>
    <w:tblStylePr w:type="band1Horz">
      <w:rPr>
        <w:rFonts w:ascii="Arial" w:hAnsi="Arial"/>
        <w:color w:val="254175" w:themeColor="accent5" w:themeShade="95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  <w:tblStylePr w:type="firstCol">
      <w:rPr>
        <w:b/>
        <w:color w:val="254175" w:themeColor="accent5" w:themeShade="95"/>
      </w:rPr>
    </w:tblStylePr>
    <w:tblStylePr w:type="firstRow">
      <w:rPr>
        <w:b/>
        <w:color w:val="254175" w:themeColor="accent5" w:themeShade="95"/>
      </w:rPr>
      <w:tcPr>
        <w:tcBorders>
          <w:bottom w:val="single" w:color="4472C4" w:themeColor="accent5" w:sz="12" w:space="0"/>
        </w:tcBorders>
      </w:tcPr>
    </w:tblStylePr>
    <w:tblStylePr w:type="lastCol">
      <w:rPr>
        <w:b/>
        <w:color w:val="254175" w:themeColor="accent5" w:themeShade="95"/>
      </w:rPr>
    </w:tblStylePr>
    <w:tblStylePr w:type="lastRow">
      <w:rPr>
        <w:b/>
        <w:color w:val="254175" w:themeColor="accent5" w:themeShade="95"/>
      </w:rPr>
    </w:tblStylePr>
  </w:style>
  <w:style w:type="table" w:styleId="797" w:customStyle="1">
    <w:name w:val="Grid Table 6 Colorful - Accent 6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70AD47" w:themeColor="accent6" w:sz="4" w:space="0"/>
        <w:left w:val="single" w:color="70AD47" w:themeColor="accent6" w:sz="4" w:space="0"/>
        <w:bottom w:val="single" w:color="70AD47" w:themeColor="accent6" w:sz="4" w:space="0"/>
        <w:right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band1Horz">
      <w:rPr>
        <w:rFonts w:ascii="Arial" w:hAnsi="Arial"/>
        <w:color w:val="254175" w:themeColor="accent5" w:themeShade="95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  <w:tblStylePr w:type="firstCol">
      <w:rPr>
        <w:b/>
        <w:color w:val="254175" w:themeColor="accent5" w:themeShade="95"/>
      </w:rPr>
    </w:tblStylePr>
    <w:tblStylePr w:type="firstRow">
      <w:rPr>
        <w:b/>
        <w:color w:val="254175" w:themeColor="accent5" w:themeShade="95"/>
      </w:rPr>
      <w:tcPr>
        <w:tcBorders>
          <w:bottom w:val="single" w:color="70AD47" w:themeColor="accent6" w:sz="12" w:space="0"/>
        </w:tcBorders>
      </w:tcPr>
    </w:tblStylePr>
    <w:tblStylePr w:type="lastCol">
      <w:rPr>
        <w:b/>
        <w:color w:val="254175" w:themeColor="accent5" w:themeShade="95"/>
      </w:rPr>
    </w:tblStylePr>
    <w:tblStylePr w:type="lastRow">
      <w:rPr>
        <w:b/>
        <w:color w:val="254175" w:themeColor="accent5" w:themeShade="95"/>
      </w:rPr>
    </w:tblStylePr>
  </w:style>
  <w:style w:type="table" w:styleId="798">
    <w:name w:val="Grid Table 7 Colorful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9" w:customStyle="1">
    <w:name w:val="Grid Table 7 Colorful - Accent 1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CCCEA" w:themeColor="accent1" w:themeTint="80" w:sz="4" w:space="0"/>
        <w:right w:val="single" w:color="ACCCEA" w:themeColor="accent1" w:themeTint="80" w:sz="4" w:space="0"/>
        <w:insideH w:val="single" w:color="ACCCEA" w:themeColor="accent1" w:themeTint="80" w:sz="4" w:space="0"/>
        <w:insideV w:val="single" w:color="ACCCEA" w:themeColor="accent1" w:themeTint="80" w:sz="4" w:space="0"/>
      </w:tblBorders>
    </w:tblPr>
    <w:tblStylePr w:type="band1Horz">
      <w:rPr>
        <w:rFonts w:ascii="Arial" w:hAnsi="Arial"/>
        <w:color w:val="acccea" w:themeColor="accent1" w:themeTint="80" w:themeShade="95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  <w:tblStylePr w:type="firstCol">
      <w:rPr>
        <w:rFonts w:ascii="Arial" w:hAnsi="Arial"/>
        <w:i/>
        <w:color w:val="acccea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CCCEA" w:themeColor="accent1" w:themeTint="80" w:sz="4" w:space="0"/>
        </w:tcBorders>
      </w:tcPr>
    </w:tblStylePr>
    <w:tblStylePr w:type="firstRow">
      <w:rPr>
        <w:rFonts w:ascii="Arial" w:hAnsi="Arial"/>
        <w:b/>
        <w:color w:val="accce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CCCEA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ACCCEA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ACCCEA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0" w:customStyle="1">
    <w:name w:val="Grid Table 7 Colorful - Accent 2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4B184" w:themeColor="accent2" w:themeTint="97" w:sz="4" w:space="0"/>
        <w:right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rFonts w:ascii="Arial" w:hAnsi="Arial"/>
        <w:i/>
        <w:color w:val="f4b184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4B184" w:themeColor="accent2" w:themeTint="97" w:sz="4" w:space="0"/>
        </w:tcBorders>
      </w:tcPr>
    </w:tblStylePr>
    <w:tblStylePr w:type="firstRow">
      <w:rPr>
        <w:rFonts w:ascii="Arial" w:hAnsi="Arial"/>
        <w:b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4B184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F4B184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F4B184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1" w:customStyle="1">
    <w:name w:val="Grid Table 7 Colorful - Accent 3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5A5A5" w:themeColor="accent3" w:themeTint="FE" w:sz="4" w:space="0"/>
        <w:right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a5a5a5" w:themeColor="accent3" w:themeTint="FE" w:themeShade="95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  <w:tblStylePr w:type="firstCol">
      <w:rPr>
        <w:rFonts w:ascii="Arial" w:hAnsi="Arial"/>
        <w:i/>
        <w:color w:val="a5a5a5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5A5A5" w:themeColor="accent3" w:themeTint="FE" w:sz="4" w:space="0"/>
        </w:tcBorders>
      </w:tcPr>
    </w:tblStylePr>
    <w:tblStylePr w:type="firstRow">
      <w:rPr>
        <w:rFonts w:ascii="Arial" w:hAnsi="Arial"/>
        <w:b/>
        <w:color w:val="a5a5a5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5A5A5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cPr>
        <w:shd w:val="clear" w:color="ffffff" w:fill="auto"/>
        <w:tcBorders>
          <w:top w:val="none" w:color="000000" w:sz="4" w:space="0"/>
          <w:left w:val="single" w:color="A5A5A5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A5A5A5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2" w:customStyle="1">
    <w:name w:val="Grid Table 7 Colorful - Accent 4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FD865" w:themeColor="accent4" w:themeTint="9A" w:sz="4" w:space="0"/>
        <w:right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rFonts w:ascii="Arial" w:hAnsi="Arial"/>
        <w:i/>
        <w:color w:val="ffd865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FD865" w:themeColor="accent4" w:themeTint="9A" w:sz="4" w:space="0"/>
        </w:tcBorders>
      </w:tcPr>
    </w:tblStylePr>
    <w:tblStylePr w:type="firstRow">
      <w:rPr>
        <w:rFonts w:ascii="Arial" w:hAnsi="Arial"/>
        <w:b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FD865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FFD865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FFD865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3" w:customStyle="1">
    <w:name w:val="Grid Table 7 Colorful - Accent 5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  <w:insideV w:val="single" w:color="95AFDD" w:themeColor="accent5" w:themeTint="90" w:sz="4" w:space="0"/>
      </w:tblBorders>
    </w:tblPr>
    <w:tblStylePr w:type="band1Horz">
      <w:rPr>
        <w:rFonts w:ascii="Arial" w:hAnsi="Arial"/>
        <w:color w:val="254175" w:themeColor="accent5" w:themeShade="95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  <w:tblStylePr w:type="firstCol">
      <w:rPr>
        <w:rFonts w:ascii="Arial" w:hAnsi="Arial"/>
        <w:i/>
        <w:color w:val="254175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5AFDD" w:themeColor="accent5" w:themeTint="90" w:sz="4" w:space="0"/>
        </w:tcBorders>
      </w:tcPr>
    </w:tblStylePr>
    <w:tblStylePr w:type="firstRow">
      <w:rPr>
        <w:rFonts w:ascii="Arial" w:hAnsi="Arial"/>
        <w:b/>
        <w:color w:val="254175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5AFDD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cPr>
        <w:shd w:val="clear" w:color="ffffff" w:fill="auto"/>
        <w:tcBorders>
          <w:top w:val="none" w:color="000000" w:sz="4" w:space="0"/>
          <w:left w:val="single" w:color="95AFDD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cPr>
        <w:shd w:val="clear" w:color="ffffff" w:themeColor="light1" w:fill="ffffff" w:themeFill="light1"/>
        <w:tcBorders>
          <w:top w:val="single" w:color="95AFDD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4" w:customStyle="1">
    <w:name w:val="Grid Table 7 Colorful - Accent 6"/>
    <w:basedOn w:val="72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  <w:insideV w:val="single" w:color="ADD394" w:themeColor="accent6" w:themeTint="90" w:sz="4" w:space="0"/>
      </w:tblBorders>
    </w:tblPr>
    <w:tblStylePr w:type="band1Horz">
      <w:rPr>
        <w:rFonts w:ascii="Arial" w:hAnsi="Arial"/>
        <w:color w:val="416429" w:themeColor="accent6" w:themeShade="95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  <w:tblStylePr w:type="firstCol">
      <w:rPr>
        <w:rFonts w:ascii="Arial" w:hAnsi="Arial"/>
        <w:i/>
        <w:color w:val="416429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DD394" w:themeColor="accent6" w:themeTint="90" w:sz="4" w:space="0"/>
        </w:tcBorders>
      </w:tcPr>
    </w:tblStylePr>
    <w:tblStylePr w:type="firstRow">
      <w:rPr>
        <w:rFonts w:ascii="Arial" w:hAnsi="Arial"/>
        <w:b/>
        <w:color w:val="41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cPr>
        <w:shd w:val="clear" w:color="ffffff" w:fill="auto"/>
        <w:tcBorders>
          <w:top w:val="none" w:color="000000" w:sz="4" w:space="0"/>
          <w:left w:val="single" w:color="ADD394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cPr>
        <w:shd w:val="clear" w:color="ffffff" w:themeColor="light1" w:fill="ffffff" w:themeFill="light1"/>
        <w:tcBorders>
          <w:top w:val="single" w:color="ADD394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5">
    <w:name w:val="List Table 1 Light"/>
    <w:basedOn w:val="721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6" w:customStyle="1">
    <w:name w:val="List Table 1 Light - Accent 1"/>
    <w:basedOn w:val="721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5e5f4" w:themeColor="accent1" w:themeTint="40" w:fill="d5e5f4" w:themeFill="accent1" w:themeFillTint="40"/>
      </w:tcPr>
    </w:tblStylePr>
    <w:tblStylePr w:type="band1Vert">
      <w:tcPr>
        <w:shd w:val="clear" w:color="d5e5f4" w:themeColor="accent1" w:themeTint="40" w:fill="d5e5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5B9BD5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B9BD5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7" w:customStyle="1">
    <w:name w:val="List Table 1 Light - Accent 2"/>
    <w:basedOn w:val="721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adecb" w:themeColor="accent2" w:themeTint="40" w:fill="fadecb" w:themeFill="accent2" w:themeFillTint="40"/>
      </w:tc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ED7D31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ED7D31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8" w:customStyle="1">
    <w:name w:val="List Table 1 Light - Accent 3"/>
    <w:basedOn w:val="721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e8e8e8" w:themeColor="accent3" w:themeTint="40" w:fill="e8e8e8" w:themeFill="accent3" w:themeFillTint="40"/>
      </w:tc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A5A5A5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A5A5A5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9" w:customStyle="1">
    <w:name w:val="List Table 1 Light - Accent 4"/>
    <w:basedOn w:val="721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fefbf" w:themeColor="accent4" w:themeTint="40" w:fill="ffefbf" w:themeFill="accent4" w:themeFillTint="40"/>
      </w:tcPr>
    </w:tblStylePr>
    <w:tblStylePr w:type="band1Vert">
      <w:tcPr>
        <w:shd w:val="clear" w:color="ffefb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FC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FC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0" w:customStyle="1">
    <w:name w:val="List Table 1 Light - Accent 5"/>
    <w:basedOn w:val="721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cfdbf0" w:themeColor="accent5" w:themeTint="40" w:fill="cfdbf0" w:themeFill="accent5" w:themeFillTint="40"/>
      </w:tcPr>
    </w:tblStylePr>
    <w:tblStylePr w:type="band1Vert">
      <w:tcPr>
        <w:shd w:val="clear" w:color="cfdbf0" w:themeColor="accent5" w:themeTint="40" w:fill="cfdb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472C4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472C4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1" w:customStyle="1">
    <w:name w:val="List Table 1 Light - Accent 6"/>
    <w:basedOn w:val="721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aebcf" w:themeColor="accent6" w:themeTint="40" w:fill="daebcf" w:themeFill="accent6" w:themeFillTint="40"/>
      </w:tc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70AD47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70AD47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2">
    <w:name w:val="List Table 2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813" w:customStyle="1">
    <w:name w:val="List Table 2 - Accent 1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A2C6E7" w:themeColor="accent1" w:themeTint="90" w:sz="4" w:space="0"/>
        <w:bottom w:val="single" w:color="A2C6E7" w:themeColor="accent1" w:themeTint="90" w:sz="4" w:space="0"/>
        <w:insideH w:val="single" w:color="A2C6E7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A2C6E7" w:themeColor="accent1" w:themeTint="90" w:sz="4" w:space="0"/>
          <w:left w:val="none" w:color="000000" w:sz="4" w:space="0"/>
          <w:bottom w:val="single" w:color="A2C6E7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A2C6E7" w:themeColor="accent1" w:themeTint="90" w:sz="4" w:space="0"/>
          <w:left w:val="none" w:color="000000" w:sz="4" w:space="0"/>
          <w:bottom w:val="single" w:color="A2C6E7" w:themeColor="accent1" w:themeTint="90" w:sz="4" w:space="0"/>
          <w:right w:val="none" w:color="000000" w:sz="4" w:space="0"/>
        </w:tcBorders>
      </w:tcPr>
    </w:tblStylePr>
  </w:style>
  <w:style w:type="table" w:styleId="814" w:customStyle="1">
    <w:name w:val="List Table 2 - Accent 2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58A" w:themeColor="accent2" w:themeTint="90" w:sz="4" w:space="0"/>
        <w:bottom w:val="single" w:color="F4B58A" w:themeColor="accent2" w:themeTint="90" w:sz="4" w:space="0"/>
        <w:insideH w:val="single" w:color="F4B58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4B58A" w:themeColor="accent2" w:themeTint="90" w:sz="4" w:space="0"/>
          <w:left w:val="none" w:color="000000" w:sz="4" w:space="0"/>
          <w:bottom w:val="single" w:color="F4B58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4B58A" w:themeColor="accent2" w:themeTint="90" w:sz="4" w:space="0"/>
          <w:left w:val="none" w:color="000000" w:sz="4" w:space="0"/>
          <w:bottom w:val="single" w:color="F4B58A" w:themeColor="accent2" w:themeTint="90" w:sz="4" w:space="0"/>
          <w:right w:val="none" w:color="000000" w:sz="4" w:space="0"/>
        </w:tcBorders>
      </w:tcPr>
    </w:tblStylePr>
  </w:style>
  <w:style w:type="table" w:styleId="815" w:customStyle="1">
    <w:name w:val="List Table 2 - Accent 3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CCCCCC" w:themeColor="accent3" w:themeTint="90" w:sz="4" w:space="0"/>
        <w:bottom w:val="single" w:color="CCCCCC" w:themeColor="accent3" w:themeTint="90" w:sz="4" w:space="0"/>
        <w:insideH w:val="single" w:color="CCCCCC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CCCCC" w:themeColor="accent3" w:themeTint="90" w:sz="4" w:space="0"/>
          <w:left w:val="none" w:color="000000" w:sz="4" w:space="0"/>
          <w:bottom w:val="single" w:color="CCCCCC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CCCCC" w:themeColor="accent3" w:themeTint="90" w:sz="4" w:space="0"/>
          <w:left w:val="none" w:color="000000" w:sz="4" w:space="0"/>
          <w:bottom w:val="single" w:color="CCCCCC" w:themeColor="accent3" w:themeTint="90" w:sz="4" w:space="0"/>
          <w:right w:val="none" w:color="000000" w:sz="4" w:space="0"/>
        </w:tcBorders>
      </w:tcPr>
    </w:tblStylePr>
  </w:style>
  <w:style w:type="table" w:styleId="816" w:customStyle="1">
    <w:name w:val="List Table 2 - Accent 4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B6F" w:themeColor="accent4" w:themeTint="90" w:sz="4" w:space="0"/>
        <w:bottom w:val="single" w:color="FFDB6F" w:themeColor="accent4" w:themeTint="90" w:sz="4" w:space="0"/>
        <w:insideH w:val="single" w:color="FFDB6F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FDB6F" w:themeColor="accent4" w:themeTint="90" w:sz="4" w:space="0"/>
          <w:left w:val="none" w:color="000000" w:sz="4" w:space="0"/>
          <w:bottom w:val="single" w:color="FFDB6F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FDB6F" w:themeColor="accent4" w:themeTint="90" w:sz="4" w:space="0"/>
          <w:left w:val="none" w:color="000000" w:sz="4" w:space="0"/>
          <w:bottom w:val="single" w:color="FFDB6F" w:themeColor="accent4" w:themeTint="90" w:sz="4" w:space="0"/>
          <w:right w:val="none" w:color="000000" w:sz="4" w:space="0"/>
        </w:tcBorders>
      </w:tcPr>
    </w:tblStylePr>
  </w:style>
  <w:style w:type="table" w:styleId="817" w:customStyle="1">
    <w:name w:val="List Table 2 - Accent 5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95AFDD" w:themeColor="accent5" w:themeTint="90" w:sz="4" w:space="0"/>
        <w:bottom w:val="single" w:color="95AFDD" w:themeColor="accent5" w:themeTint="90" w:sz="4" w:space="0"/>
        <w:insideH w:val="single" w:color="95AFDD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5AFDD" w:themeColor="accent5" w:themeTint="90" w:sz="4" w:space="0"/>
          <w:left w:val="none" w:color="000000" w:sz="4" w:space="0"/>
          <w:bottom w:val="single" w:color="95AFDD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5AFDD" w:themeColor="accent5" w:themeTint="90" w:sz="4" w:space="0"/>
          <w:left w:val="none" w:color="000000" w:sz="4" w:space="0"/>
          <w:bottom w:val="single" w:color="95AFDD" w:themeColor="accent5" w:themeTint="90" w:sz="4" w:space="0"/>
          <w:right w:val="none" w:color="000000" w:sz="4" w:space="0"/>
        </w:tcBorders>
      </w:tcPr>
    </w:tblStylePr>
  </w:style>
  <w:style w:type="table" w:styleId="818" w:customStyle="1">
    <w:name w:val="List Table 2 - Accent 6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ADD394" w:themeColor="accent6" w:themeTint="90" w:sz="4" w:space="0"/>
        <w:bottom w:val="single" w:color="ADD394" w:themeColor="accent6" w:themeTint="90" w:sz="4" w:space="0"/>
        <w:insideH w:val="single" w:color="ADD394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ADD394" w:themeColor="accent6" w:themeTint="9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ADD394" w:themeColor="accent6" w:themeTint="9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</w:style>
  <w:style w:type="table" w:styleId="819">
    <w:name w:val="List Table 3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0" w:customStyle="1">
    <w:name w:val="List Table 3 - Accent 1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5B9BD5" w:themeColor="accent1" w:sz="4" w:space="0"/>
        <w:left w:val="single" w:color="5B9BD5" w:themeColor="accent1" w:sz="4" w:space="0"/>
        <w:bottom w:val="single" w:color="5B9BD5" w:themeColor="accent1" w:sz="4" w:space="0"/>
        <w:right w:val="single" w:color="5B9BD5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5B9BD5" w:themeColor="accent1" w:sz="4" w:space="0"/>
          <w:bottom w:val="single" w:color="5B9BD5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5B9BD5" w:themeColor="accent1" w:sz="4" w:space="0"/>
          <w:right w:val="single" w:color="5B9BD5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1" w:customStyle="1">
    <w:name w:val="List Table 3 - Accent 2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4" w:space="0"/>
        <w:left w:val="single" w:color="F4B184" w:themeColor="accent2" w:themeTint="97" w:sz="4" w:space="0"/>
        <w:bottom w:val="single" w:color="F4B184" w:themeColor="accent2" w:themeTint="97" w:sz="4" w:space="0"/>
        <w:right w:val="single" w:color="F4B184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4B184" w:themeColor="accent2" w:themeTint="97" w:sz="4" w:space="0"/>
          <w:bottom w:val="single" w:color="F4B184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4B184" w:themeColor="accent2" w:themeTint="97" w:sz="4" w:space="0"/>
          <w:right w:val="single" w:color="F4B184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4b184" w:themeColor="accent2" w:themeTint="97" w:fill="f4b18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2" w:customStyle="1">
    <w:name w:val="List Table 3 - Accent 3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8" w:sz="4" w:space="0"/>
        <w:left w:val="single" w:color="C9C9C9" w:themeColor="accent3" w:themeTint="98" w:sz="4" w:space="0"/>
        <w:bottom w:val="single" w:color="C9C9C9" w:themeColor="accent3" w:themeTint="98" w:sz="4" w:space="0"/>
        <w:right w:val="single" w:color="C9C9C9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9C9C9" w:themeColor="accent3" w:themeTint="98" w:sz="4" w:space="0"/>
          <w:bottom w:val="single" w:color="C9C9C9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9C9C9" w:themeColor="accent3" w:themeTint="98" w:sz="4" w:space="0"/>
          <w:right w:val="single" w:color="C9C9C9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9c9c9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3" w:customStyle="1">
    <w:name w:val="List Table 3 - Accent 4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4" w:space="0"/>
        <w:left w:val="single" w:color="FFD865" w:themeColor="accent4" w:themeTint="9A" w:sz="4" w:space="0"/>
        <w:bottom w:val="single" w:color="FFD865" w:themeColor="accent4" w:themeTint="9A" w:sz="4" w:space="0"/>
        <w:right w:val="single" w:color="FFD865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FD865" w:themeColor="accent4" w:themeTint="9A" w:sz="4" w:space="0"/>
          <w:bottom w:val="single" w:color="FFD865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FD865" w:themeColor="accent4" w:themeTint="9A" w:sz="4" w:space="0"/>
          <w:right w:val="single" w:color="FFD865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d865" w:themeColor="accent4" w:themeTint="9A" w:fill="ffd865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4" w:customStyle="1">
    <w:name w:val="List Table 3 - Accent 5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8DA9DB" w:themeColor="accent5" w:themeTint="9A" w:sz="4" w:space="0"/>
        <w:left w:val="single" w:color="8DA9DB" w:themeColor="accent5" w:themeTint="9A" w:sz="4" w:space="0"/>
        <w:bottom w:val="single" w:color="8DA9DB" w:themeColor="accent5" w:themeTint="9A" w:sz="4" w:space="0"/>
        <w:right w:val="single" w:color="8DA9DB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8DA9DB" w:themeColor="accent5" w:themeTint="9A" w:sz="4" w:space="0"/>
          <w:bottom w:val="single" w:color="8DA9DB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8DA9DB" w:themeColor="accent5" w:themeTint="9A" w:sz="4" w:space="0"/>
          <w:right w:val="single" w:color="8DA9DB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da9db" w:themeColor="accent5" w:themeTint="9A" w:fill="8da9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5" w:customStyle="1">
    <w:name w:val="List Table 3 - Accent 6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A9D08E" w:themeColor="accent6" w:themeTint="98" w:sz="4" w:space="0"/>
        <w:left w:val="single" w:color="A9D08E" w:themeColor="accent6" w:themeTint="98" w:sz="4" w:space="0"/>
        <w:bottom w:val="single" w:color="A9D08E" w:themeColor="accent6" w:themeTint="98" w:sz="4" w:space="0"/>
        <w:right w:val="single" w:color="A9D08E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A9D08E" w:themeColor="accent6" w:themeTint="98" w:sz="4" w:space="0"/>
          <w:bottom w:val="single" w:color="A9D08E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A9D08E" w:themeColor="accent6" w:themeTint="98" w:sz="4" w:space="0"/>
          <w:right w:val="single" w:color="A9D08E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9d08e" w:themeColor="accent6" w:themeTint="98" w:fill="a9d08e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6">
    <w:name w:val="List Table 4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7" w:customStyle="1">
    <w:name w:val="List Table 4 - Accent 1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A2C6E7" w:themeColor="accent1" w:themeTint="90" w:sz="4" w:space="0"/>
        <w:left w:val="single" w:color="A2C6E7" w:themeColor="accent1" w:themeTint="90" w:sz="4" w:space="0"/>
        <w:bottom w:val="single" w:color="A2C6E7" w:themeColor="accent1" w:themeTint="90" w:sz="4" w:space="0"/>
        <w:right w:val="single" w:color="A2C6E7" w:themeColor="accent1" w:themeTint="90" w:sz="4" w:space="0"/>
        <w:insideH w:val="single" w:color="A2C6E7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8" w:customStyle="1">
    <w:name w:val="List Table 4 - Accent 2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58A" w:themeColor="accent2" w:themeTint="90" w:sz="4" w:space="0"/>
        <w:left w:val="single" w:color="F4B58A" w:themeColor="accent2" w:themeTint="90" w:sz="4" w:space="0"/>
        <w:bottom w:val="single" w:color="F4B58A" w:themeColor="accent2" w:themeTint="90" w:sz="4" w:space="0"/>
        <w:right w:val="single" w:color="F4B58A" w:themeColor="accent2" w:themeTint="90" w:sz="4" w:space="0"/>
        <w:insideH w:val="single" w:color="F4B58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9" w:customStyle="1">
    <w:name w:val="List Table 4 - Accent 3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CCCCCC" w:themeColor="accent3" w:themeTint="90" w:sz="4" w:space="0"/>
        <w:left w:val="single" w:color="CCCCCC" w:themeColor="accent3" w:themeTint="90" w:sz="4" w:space="0"/>
        <w:bottom w:val="single" w:color="CCCCCC" w:themeColor="accent3" w:themeTint="90" w:sz="4" w:space="0"/>
        <w:right w:val="single" w:color="CCCCCC" w:themeColor="accent3" w:themeTint="90" w:sz="4" w:space="0"/>
        <w:insideH w:val="single" w:color="CCCCCC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0" w:customStyle="1">
    <w:name w:val="List Table 4 - Accent 4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B6F" w:themeColor="accent4" w:themeTint="90" w:sz="4" w:space="0"/>
        <w:left w:val="single" w:color="FFDB6F" w:themeColor="accent4" w:themeTint="90" w:sz="4" w:space="0"/>
        <w:bottom w:val="single" w:color="FFDB6F" w:themeColor="accent4" w:themeTint="90" w:sz="4" w:space="0"/>
        <w:right w:val="single" w:color="FFDB6F" w:themeColor="accent4" w:themeTint="90" w:sz="4" w:space="0"/>
        <w:insideH w:val="single" w:color="FFDB6F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1" w:customStyle="1">
    <w:name w:val="List Table 4 - Accent 5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95AFDD" w:themeColor="accent5" w:themeTint="90" w:sz="4" w:space="0"/>
        <w:left w:val="single" w:color="95AFDD" w:themeColor="accent5" w:themeTint="90" w:sz="4" w:space="0"/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2" w:customStyle="1">
    <w:name w:val="List Table 4 - Accent 6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ADD394" w:themeColor="accent6" w:themeTint="90" w:sz="4" w:space="0"/>
        <w:left w:val="single" w:color="ADD394" w:themeColor="accent6" w:themeTint="90" w:sz="4" w:space="0"/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3">
    <w:name w:val="List Table 5 Dark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34" w:customStyle="1">
    <w:name w:val="List Table 5 Dark - Accent 1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5B9BD5" w:themeColor="accent1" w:sz="32" w:space="0"/>
        <w:left w:val="single" w:color="5B9BD5" w:themeColor="accent1" w:sz="32" w:space="0"/>
        <w:bottom w:val="single" w:color="5B9BD5" w:themeColor="accent1" w:sz="32" w:space="0"/>
        <w:right w:val="single" w:color="5B9BD5" w:themeColor="accent1" w:sz="32" w:space="0"/>
      </w:tblBorders>
      <w:shd w:val="clear" w:color="5b9bd5" w:themeColor="accent1" w:fill="5b9bd5" w:themeFill="accent1"/>
    </w:tblPr>
    <w:tblStylePr w:type="band1Horz">
      <w:tcPr>
        <w:shd w:val="clear" w:color="5b9bd5" w:themeColor="accent1" w:fill="5b9bd5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5b9bd5" w:themeColor="accent1" w:fill="5b9bd5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5b9bd5" w:themeColor="accent1" w:fill="5b9bd5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5B9BD5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5b9bd5" w:themeColor="accent1" w:fill="5b9bd5" w:themeFill="accent1"/>
        <w:tcBorders>
          <w:top w:val="single" w:color="5B9BD5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5B9BD5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35" w:customStyle="1">
    <w:name w:val="List Table 5 Dark - Accent 2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32" w:space="0"/>
        <w:left w:val="single" w:color="F4B184" w:themeColor="accent2" w:themeTint="97" w:sz="32" w:space="0"/>
        <w:bottom w:val="single" w:color="F4B184" w:themeColor="accent2" w:themeTint="97" w:sz="32" w:space="0"/>
        <w:right w:val="single" w:color="F4B184" w:themeColor="accent2" w:themeTint="97" w:sz="32" w:space="0"/>
      </w:tblBorders>
      <w:shd w:val="clear" w:color="f4b184" w:themeColor="accent2" w:themeTint="97" w:fill="f4b184" w:themeFill="accent2" w:themeFillTint="97"/>
    </w:tblPr>
    <w:tblStylePr w:type="band1Horz">
      <w:tcPr>
        <w:shd w:val="clear" w:color="f4b184" w:themeColor="accent2" w:themeTint="97" w:fill="f4b184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4b184" w:themeColor="accent2" w:themeTint="97" w:fill="f4b184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4b184" w:themeColor="accent2" w:themeTint="97" w:fill="f4b184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4B184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4b184" w:themeColor="accent2" w:themeTint="97" w:fill="f4b184" w:themeFill="accent2" w:themeFillTint="97"/>
        <w:tcBorders>
          <w:top w:val="single" w:color="F4B184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4B184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36" w:customStyle="1">
    <w:name w:val="List Table 5 Dark - Accent 3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8" w:sz="32" w:space="0"/>
        <w:left w:val="single" w:color="C9C9C9" w:themeColor="accent3" w:themeTint="98" w:sz="32" w:space="0"/>
        <w:bottom w:val="single" w:color="C9C9C9" w:themeColor="accent3" w:themeTint="98" w:sz="32" w:space="0"/>
        <w:right w:val="single" w:color="C9C9C9" w:themeColor="accent3" w:themeTint="98" w:sz="32" w:space="0"/>
      </w:tblBorders>
      <w:shd w:val="clear" w:color="c9c9c9" w:themeColor="accent3" w:themeTint="98" w:fill="c9c9c9" w:themeFill="accent3" w:themeFillTint="98"/>
    </w:tblPr>
    <w:tblStylePr w:type="band1Horz">
      <w:tcPr>
        <w:shd w:val="clear" w:color="c9c9c9" w:themeColor="accent3" w:themeTint="98" w:fill="c9c9c9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9c9c9" w:themeColor="accent3" w:themeTint="98" w:fill="c9c9c9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9c9c9" w:themeColor="accent3" w:themeTint="98" w:fill="c9c9c9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9C9C9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c9c9c9" w:themeColor="accent3" w:themeTint="98" w:fill="c9c9c9" w:themeFill="accent3" w:themeFillTint="98"/>
        <w:tcBorders>
          <w:top w:val="single" w:color="C9C9C9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9C9C9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37" w:customStyle="1">
    <w:name w:val="List Table 5 Dark - Accent 4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32" w:space="0"/>
        <w:left w:val="single" w:color="FFD865" w:themeColor="accent4" w:themeTint="9A" w:sz="32" w:space="0"/>
        <w:bottom w:val="single" w:color="FFD865" w:themeColor="accent4" w:themeTint="9A" w:sz="32" w:space="0"/>
        <w:right w:val="single" w:color="FFD865" w:themeColor="accent4" w:themeTint="9A" w:sz="32" w:space="0"/>
      </w:tblBorders>
      <w:shd w:val="clear" w:color="ffd865" w:themeColor="accent4" w:themeTint="9A" w:fill="ffd865" w:themeFill="accent4" w:themeFillTint="9A"/>
    </w:tblPr>
    <w:tblStylePr w:type="band1Horz">
      <w:tcPr>
        <w:shd w:val="clear" w:color="ffd865" w:themeColor="accent4" w:themeTint="9A" w:fill="ffd865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fd865" w:themeColor="accent4" w:themeTint="9A" w:fill="ffd865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fd865" w:themeColor="accent4" w:themeTint="9A" w:fill="ffd865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FD865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d865" w:themeColor="accent4" w:themeTint="9A" w:fill="ffd865" w:themeFill="accent4" w:themeFillTint="9A"/>
        <w:tcBorders>
          <w:top w:val="single" w:color="FFD865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FD865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38" w:customStyle="1">
    <w:name w:val="List Table 5 Dark - Accent 5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8DA9DB" w:themeColor="accent5" w:themeTint="9A" w:sz="32" w:space="0"/>
        <w:left w:val="single" w:color="8DA9DB" w:themeColor="accent5" w:themeTint="9A" w:sz="32" w:space="0"/>
        <w:bottom w:val="single" w:color="8DA9DB" w:themeColor="accent5" w:themeTint="9A" w:sz="32" w:space="0"/>
        <w:right w:val="single" w:color="8DA9DB" w:themeColor="accent5" w:themeTint="9A" w:sz="32" w:space="0"/>
      </w:tblBorders>
      <w:shd w:val="clear" w:color="8da9db" w:themeColor="accent5" w:themeTint="9A" w:fill="8da9db" w:themeFill="accent5" w:themeFillTint="9A"/>
    </w:tblPr>
    <w:tblStylePr w:type="band1Horz">
      <w:tcPr>
        <w:shd w:val="clear" w:color="8da9db" w:themeColor="accent5" w:themeTint="9A" w:fill="8da9db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8da9db" w:themeColor="accent5" w:themeTint="9A" w:fill="8da9db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8da9db" w:themeColor="accent5" w:themeTint="9A" w:fill="8da9db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8DA9DB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8da9db" w:themeColor="accent5" w:themeTint="9A" w:fill="8da9db" w:themeFill="accent5" w:themeFillTint="9A"/>
        <w:tcBorders>
          <w:top w:val="single" w:color="8DA9DB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8DA9DB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39" w:customStyle="1">
    <w:name w:val="List Table 5 Dark - Accent 6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A9D08E" w:themeColor="accent6" w:themeTint="98" w:sz="32" w:space="0"/>
        <w:left w:val="single" w:color="A9D08E" w:themeColor="accent6" w:themeTint="98" w:sz="32" w:space="0"/>
        <w:bottom w:val="single" w:color="A9D08E" w:themeColor="accent6" w:themeTint="98" w:sz="32" w:space="0"/>
        <w:right w:val="single" w:color="A9D08E" w:themeColor="accent6" w:themeTint="98" w:sz="32" w:space="0"/>
      </w:tblBorders>
      <w:shd w:val="clear" w:color="a9d08e" w:themeColor="accent6" w:themeTint="98" w:fill="a9d08e" w:themeFill="accent6" w:themeFillTint="98"/>
    </w:tblPr>
    <w:tblStylePr w:type="band1Horz">
      <w:tcPr>
        <w:shd w:val="clear" w:color="a9d08e" w:themeColor="accent6" w:themeTint="98" w:fill="a9d08e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a9d08e" w:themeColor="accent6" w:themeTint="98" w:fill="a9d08e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a9d08e" w:themeColor="accent6" w:themeTint="98" w:fill="a9d08e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A9D08E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a9d08e" w:themeColor="accent6" w:themeTint="98" w:fill="a9d08e" w:themeFill="accent6" w:themeFillTint="98"/>
        <w:tcBorders>
          <w:top w:val="single" w:color="A9D08E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A9D08E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40">
    <w:name w:val="List Table 6 Colorful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841" w:customStyle="1">
    <w:name w:val="List Table 6 Colorful - Accent 1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5B9BD5" w:themeColor="accent1" w:sz="4" w:space="0"/>
        <w:bottom w:val="single" w:color="5B9BD5" w:themeColor="accent1" w:sz="4" w:space="0"/>
      </w:tblBorders>
    </w:tblPr>
    <w:tblStylePr w:type="band1Horz">
      <w:rPr>
        <w:rFonts w:ascii="Arial" w:hAnsi="Arial"/>
        <w:color w:val="245a8d" w:themeColor="accent1" w:themeShade="95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  <w:tblStylePr w:type="firstCol">
      <w:rPr>
        <w:b/>
        <w:color w:val="245a8d" w:themeColor="accent1" w:themeShade="95"/>
      </w:rPr>
    </w:tblStylePr>
    <w:tblStylePr w:type="firstRow">
      <w:rPr>
        <w:b/>
        <w:color w:val="245a8d" w:themeColor="accent1" w:themeShade="95"/>
      </w:rPr>
      <w:tcPr>
        <w:tcBorders>
          <w:bottom w:val="single" w:color="5B9BD5" w:themeColor="accent1" w:sz="4" w:space="0"/>
        </w:tcBorders>
      </w:tcPr>
    </w:tblStylePr>
    <w:tblStylePr w:type="lastCol">
      <w:rPr>
        <w:b/>
        <w:color w:val="245a8d" w:themeColor="accent1" w:themeShade="95"/>
      </w:rPr>
    </w:tblStylePr>
    <w:tblStylePr w:type="lastRow">
      <w:rPr>
        <w:b/>
        <w:color w:val="245a8d" w:themeColor="accent1" w:themeShade="95"/>
      </w:rPr>
      <w:tcPr>
        <w:tcBorders>
          <w:top w:val="single" w:color="5B9BD5" w:themeColor="accent1" w:sz="4" w:space="0"/>
        </w:tcBorders>
      </w:tcPr>
    </w:tblStylePr>
  </w:style>
  <w:style w:type="table" w:styleId="842" w:customStyle="1">
    <w:name w:val="List Table 6 Colorful - Accent 2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4" w:space="0"/>
        <w:bottom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b/>
        <w:color w:val="f4b184" w:themeColor="accent2" w:themeTint="97" w:themeShade="95"/>
      </w:rPr>
    </w:tblStylePr>
    <w:tblStylePr w:type="firstRow">
      <w:rPr>
        <w:b/>
        <w:color w:val="f4b184" w:themeColor="accent2" w:themeTint="97" w:themeShade="95"/>
      </w:rPr>
      <w:tcPr>
        <w:tcBorders>
          <w:bottom w:val="single" w:color="F4B184" w:themeColor="accent2" w:themeTint="97" w:sz="4" w:space="0"/>
        </w:tcBorders>
      </w:tcPr>
    </w:tblStylePr>
    <w:tblStylePr w:type="lastCol">
      <w:rPr>
        <w:b/>
        <w:color w:val="f4b184" w:themeColor="accent2" w:themeTint="97" w:themeShade="95"/>
      </w:rPr>
    </w:tblStylePr>
    <w:tblStylePr w:type="lastRow">
      <w:rPr>
        <w:b/>
        <w:color w:val="f4b184" w:themeColor="accent2" w:themeTint="97" w:themeShade="95"/>
      </w:rPr>
      <w:tcPr>
        <w:tcBorders>
          <w:top w:val="single" w:color="F4B184" w:themeColor="accent2" w:themeTint="97" w:sz="4" w:space="0"/>
        </w:tcBorders>
      </w:tcPr>
    </w:tblStylePr>
  </w:style>
  <w:style w:type="table" w:styleId="843" w:customStyle="1">
    <w:name w:val="List Table 6 Colorful - Accent 3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8" w:sz="4" w:space="0"/>
        <w:bottom w:val="single" w:color="C9C9C9" w:themeColor="accent3" w:themeTint="98" w:sz="4" w:space="0"/>
      </w:tblBorders>
    </w:tblPr>
    <w:tblStylePr w:type="band1Horz">
      <w:rPr>
        <w:rFonts w:ascii="Arial" w:hAnsi="Arial"/>
        <w:color w:val="c9c9c9" w:themeColor="accent3" w:themeTint="98" w:themeShade="95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  <w:tblStylePr w:type="firstCol">
      <w:rPr>
        <w:b/>
        <w:color w:val="c9c9c9" w:themeColor="accent3" w:themeTint="98" w:themeShade="95"/>
      </w:rPr>
    </w:tblStylePr>
    <w:tblStylePr w:type="firstRow">
      <w:rPr>
        <w:b/>
        <w:color w:val="c9c9c9" w:themeColor="accent3" w:themeTint="98" w:themeShade="95"/>
      </w:rPr>
      <w:tcPr>
        <w:tcBorders>
          <w:bottom w:val="single" w:color="C9C9C9" w:themeColor="accent3" w:themeTint="98" w:sz="4" w:space="0"/>
        </w:tcBorders>
      </w:tcPr>
    </w:tblStylePr>
    <w:tblStylePr w:type="lastCol">
      <w:rPr>
        <w:b/>
        <w:color w:val="c9c9c9" w:themeColor="accent3" w:themeTint="98" w:themeShade="95"/>
      </w:rPr>
    </w:tblStylePr>
    <w:tblStylePr w:type="lastRow">
      <w:rPr>
        <w:b/>
        <w:color w:val="c9c9c9" w:themeColor="accent3" w:themeTint="98" w:themeShade="95"/>
      </w:rPr>
      <w:tcPr>
        <w:tcBorders>
          <w:top w:val="single" w:color="C9C9C9" w:themeColor="accent3" w:themeTint="98" w:sz="4" w:space="0"/>
        </w:tcBorders>
      </w:tcPr>
    </w:tblStylePr>
  </w:style>
  <w:style w:type="table" w:styleId="844" w:customStyle="1">
    <w:name w:val="List Table 6 Colorful - Accent 4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4" w:space="0"/>
        <w:bottom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b/>
        <w:color w:val="ffd865" w:themeColor="accent4" w:themeTint="9A" w:themeShade="95"/>
      </w:rPr>
    </w:tblStylePr>
    <w:tblStylePr w:type="firstRow">
      <w:rPr>
        <w:b/>
        <w:color w:val="ffd865" w:themeColor="accent4" w:themeTint="9A" w:themeShade="95"/>
      </w:rPr>
      <w:tcPr>
        <w:tcBorders>
          <w:bottom w:val="single" w:color="FFD865" w:themeColor="accent4" w:themeTint="9A" w:sz="4" w:space="0"/>
        </w:tcBorders>
      </w:tcPr>
    </w:tblStylePr>
    <w:tblStylePr w:type="lastCol">
      <w:rPr>
        <w:b/>
        <w:color w:val="ffd865" w:themeColor="accent4" w:themeTint="9A" w:themeShade="95"/>
      </w:rPr>
    </w:tblStylePr>
    <w:tblStylePr w:type="lastRow">
      <w:rPr>
        <w:b/>
        <w:color w:val="ffd865" w:themeColor="accent4" w:themeTint="9A" w:themeShade="95"/>
      </w:rPr>
      <w:tcPr>
        <w:tcBorders>
          <w:top w:val="single" w:color="FFD865" w:themeColor="accent4" w:themeTint="9A" w:sz="4" w:space="0"/>
        </w:tcBorders>
      </w:tcPr>
    </w:tblStylePr>
  </w:style>
  <w:style w:type="table" w:styleId="845" w:customStyle="1">
    <w:name w:val="List Table 6 Colorful - Accent 5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8DA9DB" w:themeColor="accent5" w:themeTint="9A" w:sz="4" w:space="0"/>
        <w:bottom w:val="single" w:color="8DA9DB" w:themeColor="accent5" w:themeTint="9A" w:sz="4" w:space="0"/>
      </w:tblBorders>
    </w:tblPr>
    <w:tblStylePr w:type="band1Horz">
      <w:rPr>
        <w:rFonts w:ascii="Arial" w:hAnsi="Arial"/>
        <w:color w:val="8da9db" w:themeColor="accent5" w:themeTint="9A" w:themeShade="95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  <w:tblStylePr w:type="firstCol">
      <w:rPr>
        <w:b/>
        <w:color w:val="8da9db" w:themeColor="accent5" w:themeTint="9A" w:themeShade="95"/>
      </w:rPr>
    </w:tblStylePr>
    <w:tblStylePr w:type="firstRow">
      <w:rPr>
        <w:b/>
        <w:color w:val="8da9db" w:themeColor="accent5" w:themeTint="9A" w:themeShade="95"/>
      </w:rPr>
      <w:tcPr>
        <w:tcBorders>
          <w:bottom w:val="single" w:color="8DA9DB" w:themeColor="accent5" w:themeTint="9A" w:sz="4" w:space="0"/>
        </w:tcBorders>
      </w:tcPr>
    </w:tblStylePr>
    <w:tblStylePr w:type="lastCol">
      <w:rPr>
        <w:b/>
        <w:color w:val="8da9db" w:themeColor="accent5" w:themeTint="9A" w:themeShade="95"/>
      </w:rPr>
    </w:tblStylePr>
    <w:tblStylePr w:type="lastRow">
      <w:rPr>
        <w:b/>
        <w:color w:val="8da9db" w:themeColor="accent5" w:themeTint="9A" w:themeShade="95"/>
      </w:rPr>
      <w:tcPr>
        <w:tcBorders>
          <w:top w:val="single" w:color="8DA9DB" w:themeColor="accent5" w:themeTint="9A" w:sz="4" w:space="0"/>
        </w:tcBorders>
      </w:tcPr>
    </w:tblStylePr>
  </w:style>
  <w:style w:type="table" w:styleId="846" w:customStyle="1">
    <w:name w:val="List Table 6 Colorful - Accent 6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A9D08E" w:themeColor="accent6" w:themeTint="98" w:sz="4" w:space="0"/>
        <w:bottom w:val="single" w:color="A9D08E" w:themeColor="accent6" w:themeTint="98" w:sz="4" w:space="0"/>
      </w:tblBorders>
    </w:tblPr>
    <w:tblStylePr w:type="band1Horz">
      <w:rPr>
        <w:rFonts w:ascii="Arial" w:hAnsi="Arial"/>
        <w:color w:val="a9d08e" w:themeColor="accent6" w:themeTint="98" w:themeShade="95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  <w:tblStylePr w:type="firstCol">
      <w:rPr>
        <w:b/>
        <w:color w:val="a9d08e" w:themeColor="accent6" w:themeTint="98" w:themeShade="95"/>
      </w:rPr>
    </w:tblStylePr>
    <w:tblStylePr w:type="firstRow">
      <w:rPr>
        <w:b/>
        <w:color w:val="a9d08e" w:themeColor="accent6" w:themeTint="98" w:themeShade="95"/>
      </w:rPr>
      <w:tcPr>
        <w:tcBorders>
          <w:bottom w:val="single" w:color="A9D08E" w:themeColor="accent6" w:themeTint="98" w:sz="4" w:space="0"/>
        </w:tcBorders>
      </w:tcPr>
    </w:tblStylePr>
    <w:tblStylePr w:type="lastCol">
      <w:rPr>
        <w:b/>
        <w:color w:val="a9d08e" w:themeColor="accent6" w:themeTint="98" w:themeShade="95"/>
      </w:rPr>
    </w:tblStylePr>
    <w:tblStylePr w:type="lastRow">
      <w:rPr>
        <w:b/>
        <w:color w:val="a9d08e" w:themeColor="accent6" w:themeTint="98" w:themeShade="95"/>
      </w:rPr>
      <w:tcPr>
        <w:tcBorders>
          <w:top w:val="single" w:color="A9D08E" w:themeColor="accent6" w:themeTint="98" w:sz="4" w:space="0"/>
        </w:tcBorders>
      </w:tcPr>
    </w:tblStylePr>
  </w:style>
  <w:style w:type="table" w:styleId="847">
    <w:name w:val="List Table 7 Colorful"/>
    <w:basedOn w:val="721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8" w:customStyle="1">
    <w:name w:val="List Table 7 Colorful - Accent 1"/>
    <w:basedOn w:val="721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5B9BD5" w:themeColor="accent1" w:sz="4" w:space="0"/>
      </w:tblBorders>
    </w:tblPr>
    <w:tblStylePr w:type="band1Horz">
      <w:rPr>
        <w:rFonts w:ascii="Arial" w:hAnsi="Arial"/>
        <w:color w:val="245a8d" w:themeColor="accent1" w:themeShade="95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  <w:tblStylePr w:type="firstCol">
      <w:rPr>
        <w:rFonts w:ascii="Arial" w:hAnsi="Arial"/>
        <w:i/>
        <w:color w:val="245a8d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5B9BD5" w:themeColor="accent1" w:sz="4" w:space="0"/>
        </w:tcBorders>
      </w:tcPr>
    </w:tblStylePr>
    <w:tblStylePr w:type="firstRow">
      <w:rPr>
        <w:rFonts w:ascii="Arial" w:hAnsi="Arial"/>
        <w:i/>
        <w:color w:val="245a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5B9BD5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cPr>
        <w:shd w:val="clear" w:color="ffffff" w:fill="auto"/>
        <w:tcBorders>
          <w:top w:val="none" w:color="000000" w:sz="4" w:space="0"/>
          <w:left w:val="single" w:color="5B9BD5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cPr>
        <w:shd w:val="clear" w:color="ffffff" w:themeColor="light1" w:fill="ffffff" w:themeFill="light1"/>
        <w:tcBorders>
          <w:top w:val="single" w:color="5B9BD5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9" w:customStyle="1">
    <w:name w:val="List Table 7 Colorful - Accent 2"/>
    <w:basedOn w:val="721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rFonts w:ascii="Arial" w:hAnsi="Arial"/>
        <w:i/>
        <w:color w:val="f4b184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4B184" w:themeColor="accent2" w:themeTint="97" w:sz="4" w:space="0"/>
        </w:tcBorders>
      </w:tcPr>
    </w:tblStylePr>
    <w:tblStylePr w:type="firstRow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4B184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F4B184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F4B184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0" w:customStyle="1">
    <w:name w:val="List Table 7 Colorful - Accent 3"/>
    <w:basedOn w:val="721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C9C9C9" w:themeColor="accent3" w:themeTint="98" w:sz="4" w:space="0"/>
      </w:tblBorders>
    </w:tblPr>
    <w:tblStylePr w:type="band1Horz">
      <w:rPr>
        <w:rFonts w:ascii="Arial" w:hAnsi="Arial"/>
        <w:color w:val="c9c9c9" w:themeColor="accent3" w:themeTint="98" w:themeShade="95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  <w:tblStylePr w:type="firstCol">
      <w:rPr>
        <w:rFonts w:ascii="Arial" w:hAnsi="Arial"/>
        <w:i/>
        <w:color w:val="c9c9c9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C9C9C9" w:themeColor="accent3" w:themeTint="98" w:sz="4" w:space="0"/>
        </w:tcBorders>
      </w:tcPr>
    </w:tblStylePr>
    <w:tblStylePr w:type="firstRow">
      <w:rPr>
        <w:rFonts w:ascii="Arial" w:hAnsi="Arial"/>
        <w:i/>
        <w:color w:val="c9c9c9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C9C9C9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C9C9C9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C9C9C9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1" w:customStyle="1">
    <w:name w:val="List Table 7 Colorful - Accent 4"/>
    <w:basedOn w:val="721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rFonts w:ascii="Arial" w:hAnsi="Arial"/>
        <w:i/>
        <w:color w:val="ffd865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FD865" w:themeColor="accent4" w:themeTint="9A" w:sz="4" w:space="0"/>
        </w:tcBorders>
      </w:tcPr>
    </w:tblStylePr>
    <w:tblStylePr w:type="firstRow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FD865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FFD865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FFD865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2" w:customStyle="1">
    <w:name w:val="List Table 7 Colorful - Accent 5"/>
    <w:basedOn w:val="721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8DA9DB" w:themeColor="accent5" w:themeTint="9A" w:sz="4" w:space="0"/>
      </w:tblBorders>
    </w:tblPr>
    <w:tblStylePr w:type="band1Horz">
      <w:rPr>
        <w:rFonts w:ascii="Arial" w:hAnsi="Arial"/>
        <w:color w:val="8da9db" w:themeColor="accent5" w:themeTint="9A" w:themeShade="95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  <w:tblStylePr w:type="firstCol">
      <w:rPr>
        <w:rFonts w:ascii="Arial" w:hAnsi="Arial"/>
        <w:i/>
        <w:color w:val="8da9db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8DA9DB" w:themeColor="accent5" w:themeTint="9A" w:sz="4" w:space="0"/>
        </w:tcBorders>
      </w:tcPr>
    </w:tblStylePr>
    <w:tblStylePr w:type="firstRow">
      <w:rPr>
        <w:rFonts w:ascii="Arial" w:hAnsi="Arial"/>
        <w:i/>
        <w:color w:val="8da9db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8DA9DB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8DA9DB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8DA9DB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3" w:customStyle="1">
    <w:name w:val="List Table 7 Colorful - Accent 6"/>
    <w:basedOn w:val="721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A9D08E" w:themeColor="accent6" w:themeTint="98" w:sz="4" w:space="0"/>
      </w:tblBorders>
    </w:tblPr>
    <w:tblStylePr w:type="band1Horz">
      <w:rPr>
        <w:rFonts w:ascii="Arial" w:hAnsi="Arial"/>
        <w:color w:val="a9d08e" w:themeColor="accent6" w:themeTint="98" w:themeShade="95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  <w:tblStylePr w:type="firstCol">
      <w:rPr>
        <w:rFonts w:ascii="Arial" w:hAnsi="Arial"/>
        <w:i/>
        <w:color w:val="a9d08e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9D08E" w:themeColor="accent6" w:themeTint="98" w:sz="4" w:space="0"/>
        </w:tcBorders>
      </w:tcPr>
    </w:tblStylePr>
    <w:tblStylePr w:type="firstRow">
      <w:rPr>
        <w:rFonts w:ascii="Arial" w:hAnsi="Arial"/>
        <w:i/>
        <w:color w:val="a9d08e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9D08E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A9D08E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A9D08E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4" w:customStyle="1">
    <w:name w:val="Lined - Accent"/>
    <w:basedOn w:val="721"/>
    <w:uiPriority w:val="99"/>
    <w:pPr>
      <w:spacing w:after="0" w:line="240" w:lineRule="auto"/>
    </w:pPr>
    <w:rPr>
      <w:color w:val="404040"/>
      <w:sz w:val="2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55" w:customStyle="1">
    <w:name w:val="Lined - Accent 1"/>
    <w:basedOn w:val="721"/>
    <w:uiPriority w:val="99"/>
    <w:pPr>
      <w:spacing w:after="0" w:line="240" w:lineRule="auto"/>
    </w:pPr>
    <w:rPr>
      <w:color w:val="404040"/>
      <w:sz w:val="2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</w:style>
  <w:style w:type="table" w:styleId="856" w:customStyle="1">
    <w:name w:val="Lined - Accent 2"/>
    <w:basedOn w:val="721"/>
    <w:uiPriority w:val="99"/>
    <w:pPr>
      <w:spacing w:after="0" w:line="240" w:lineRule="auto"/>
    </w:pPr>
    <w:rPr>
      <w:color w:val="404040"/>
      <w:sz w:val="2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</w:style>
  <w:style w:type="table" w:styleId="857" w:customStyle="1">
    <w:name w:val="Lined - Accent 3"/>
    <w:basedOn w:val="721"/>
    <w:uiPriority w:val="99"/>
    <w:pPr>
      <w:spacing w:after="0" w:line="240" w:lineRule="auto"/>
    </w:pPr>
    <w:rPr>
      <w:color w:val="404040"/>
      <w:sz w:val="2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</w:style>
  <w:style w:type="table" w:styleId="858" w:customStyle="1">
    <w:name w:val="Lined - Accent 4"/>
    <w:basedOn w:val="721"/>
    <w:uiPriority w:val="99"/>
    <w:pPr>
      <w:spacing w:after="0" w:line="240" w:lineRule="auto"/>
    </w:pPr>
    <w:rPr>
      <w:color w:val="404040"/>
      <w:sz w:val="2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</w:style>
  <w:style w:type="table" w:styleId="859" w:customStyle="1">
    <w:name w:val="Lined - Accent 5"/>
    <w:basedOn w:val="721"/>
    <w:uiPriority w:val="99"/>
    <w:pPr>
      <w:spacing w:after="0" w:line="240" w:lineRule="auto"/>
    </w:pPr>
    <w:rPr>
      <w:color w:val="404040"/>
      <w:sz w:val="2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</w:style>
  <w:style w:type="table" w:styleId="860" w:customStyle="1">
    <w:name w:val="Lined - Accent 6"/>
    <w:basedOn w:val="721"/>
    <w:uiPriority w:val="99"/>
    <w:pPr>
      <w:spacing w:after="0" w:line="240" w:lineRule="auto"/>
    </w:pPr>
    <w:rPr>
      <w:color w:val="404040"/>
      <w:sz w:val="2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</w:style>
  <w:style w:type="table" w:styleId="861" w:customStyle="1">
    <w:name w:val="Bordered &amp; Lined - Accent"/>
    <w:basedOn w:val="721"/>
    <w:uiPriority w:val="99"/>
    <w:pPr>
      <w:spacing w:after="0" w:line="240" w:lineRule="auto"/>
    </w:pPr>
    <w:rPr>
      <w:color w:val="404040"/>
      <w:sz w:val="20"/>
    </w:rPr>
    <w:tblPr>
      <w:tblStyleRowBandSize w:val="1"/>
      <w:tblStyleColBandSize w:val="1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62" w:customStyle="1">
    <w:name w:val="Bordered &amp; Lined - Accent 1"/>
    <w:basedOn w:val="721"/>
    <w:uiPriority w:val="99"/>
    <w:pPr>
      <w:spacing w:after="0" w:line="240" w:lineRule="auto"/>
    </w:pPr>
    <w:rPr>
      <w:color w:val="404040"/>
      <w:sz w:val="20"/>
    </w:rPr>
    <w:tblPr>
      <w:tblStyleRowBandSize w:val="1"/>
      <w:tblStyleColBandSize w:val="1"/>
      <w:tblBorders>
        <w:top w:val="single" w:color="245A8D" w:themeColor="accent1" w:themeShade="95" w:sz="4" w:space="0"/>
        <w:left w:val="single" w:color="245A8D" w:themeColor="accent1" w:themeShade="95" w:sz="4" w:space="0"/>
        <w:bottom w:val="single" w:color="245A8D" w:themeColor="accent1" w:themeShade="95" w:sz="4" w:space="0"/>
        <w:right w:val="single" w:color="245A8D" w:themeColor="accent1" w:themeShade="95" w:sz="4" w:space="0"/>
        <w:insideH w:val="single" w:color="245A8D" w:themeColor="accent1" w:themeShade="95" w:sz="4" w:space="0"/>
        <w:insideV w:val="single" w:color="245A8D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</w:style>
  <w:style w:type="table" w:styleId="863" w:customStyle="1">
    <w:name w:val="Bordered &amp; Lined - Accent 2"/>
    <w:basedOn w:val="721"/>
    <w:uiPriority w:val="99"/>
    <w:pPr>
      <w:spacing w:after="0" w:line="240" w:lineRule="auto"/>
    </w:pPr>
    <w:rPr>
      <w:color w:val="404040"/>
      <w:sz w:val="20"/>
    </w:rPr>
    <w:tblPr>
      <w:tblStyleRowBandSize w:val="1"/>
      <w:tblStyleColBandSize w:val="1"/>
      <w:tblBorders>
        <w:top w:val="single" w:color="99460D" w:themeColor="accent2" w:themeShade="95" w:sz="4" w:space="0"/>
        <w:left w:val="single" w:color="99460D" w:themeColor="accent2" w:themeShade="95" w:sz="4" w:space="0"/>
        <w:bottom w:val="single" w:color="99460D" w:themeColor="accent2" w:themeShade="95" w:sz="4" w:space="0"/>
        <w:right w:val="single" w:color="99460D" w:themeColor="accent2" w:themeShade="95" w:sz="4" w:space="0"/>
        <w:insideH w:val="single" w:color="99460D" w:themeColor="accent2" w:themeShade="95" w:sz="4" w:space="0"/>
        <w:insideV w:val="single" w:color="99460D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</w:style>
  <w:style w:type="table" w:styleId="864" w:customStyle="1">
    <w:name w:val="Bordered &amp; Lined - Accent 3"/>
    <w:basedOn w:val="721"/>
    <w:uiPriority w:val="99"/>
    <w:pPr>
      <w:spacing w:after="0" w:line="240" w:lineRule="auto"/>
    </w:pPr>
    <w:rPr>
      <w:color w:val="404040"/>
      <w:sz w:val="20"/>
    </w:rPr>
    <w:tblPr>
      <w:tblStyleRowBandSize w:val="1"/>
      <w:tblStyleColBandSize w:val="1"/>
      <w:tblBorders>
        <w:top w:val="single" w:color="606060" w:themeColor="accent3" w:themeShade="95" w:sz="4" w:space="0"/>
        <w:left w:val="single" w:color="606060" w:themeColor="accent3" w:themeShade="95" w:sz="4" w:space="0"/>
        <w:bottom w:val="single" w:color="606060" w:themeColor="accent3" w:themeShade="95" w:sz="4" w:space="0"/>
        <w:right w:val="single" w:color="606060" w:themeColor="accent3" w:themeShade="95" w:sz="4" w:space="0"/>
        <w:insideH w:val="single" w:color="606060" w:themeColor="accent3" w:themeShade="95" w:sz="4" w:space="0"/>
        <w:insideV w:val="single" w:color="60606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</w:style>
  <w:style w:type="table" w:styleId="865" w:customStyle="1">
    <w:name w:val="Bordered &amp; Lined - Accent 4"/>
    <w:basedOn w:val="721"/>
    <w:uiPriority w:val="99"/>
    <w:pPr>
      <w:spacing w:after="0" w:line="240" w:lineRule="auto"/>
    </w:pPr>
    <w:rPr>
      <w:color w:val="404040"/>
      <w:sz w:val="20"/>
    </w:rPr>
    <w:tblPr>
      <w:tblStyleRowBandSize w:val="1"/>
      <w:tblStyleColBandSize w:val="1"/>
      <w:tblBorders>
        <w:top w:val="single" w:color="957000" w:themeColor="accent4" w:themeShade="95" w:sz="4" w:space="0"/>
        <w:left w:val="single" w:color="957000" w:themeColor="accent4" w:themeShade="95" w:sz="4" w:space="0"/>
        <w:bottom w:val="single" w:color="957000" w:themeColor="accent4" w:themeShade="95" w:sz="4" w:space="0"/>
        <w:right w:val="single" w:color="957000" w:themeColor="accent4" w:themeShade="95" w:sz="4" w:space="0"/>
        <w:insideH w:val="single" w:color="957000" w:themeColor="accent4" w:themeShade="95" w:sz="4" w:space="0"/>
        <w:insideV w:val="single" w:color="957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</w:style>
  <w:style w:type="table" w:styleId="866" w:customStyle="1">
    <w:name w:val="Bordered &amp; Lined - Accent 5"/>
    <w:basedOn w:val="721"/>
    <w:uiPriority w:val="99"/>
    <w:pPr>
      <w:spacing w:after="0" w:line="240" w:lineRule="auto"/>
    </w:pPr>
    <w:rPr>
      <w:color w:val="404040"/>
      <w:sz w:val="20"/>
    </w:rPr>
    <w:tblPr>
      <w:tblStyleRowBandSize w:val="1"/>
      <w:tblStyleColBandSize w:val="1"/>
      <w:tblBorders>
        <w:top w:val="single" w:color="254175" w:themeColor="accent5" w:themeShade="95" w:sz="4" w:space="0"/>
        <w:left w:val="single" w:color="254175" w:themeColor="accent5" w:themeShade="95" w:sz="4" w:space="0"/>
        <w:bottom w:val="single" w:color="254175" w:themeColor="accent5" w:themeShade="95" w:sz="4" w:space="0"/>
        <w:right w:val="single" w:color="254175" w:themeColor="accent5" w:themeShade="95" w:sz="4" w:space="0"/>
        <w:insideH w:val="single" w:color="254175" w:themeColor="accent5" w:themeShade="95" w:sz="4" w:space="0"/>
        <w:insideV w:val="single" w:color="254175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</w:style>
  <w:style w:type="table" w:styleId="867" w:customStyle="1">
    <w:name w:val="Bordered &amp; Lined - Accent 6"/>
    <w:basedOn w:val="721"/>
    <w:uiPriority w:val="99"/>
    <w:pPr>
      <w:spacing w:after="0" w:line="240" w:lineRule="auto"/>
    </w:pPr>
    <w:rPr>
      <w:color w:val="404040"/>
      <w:sz w:val="20"/>
    </w:rPr>
    <w:tblPr>
      <w:tblStyleRowBandSize w:val="1"/>
      <w:tblStyleColBandSize w:val="1"/>
      <w:tblBorders>
        <w:top w:val="single" w:color="416429" w:themeColor="accent6" w:themeShade="95" w:sz="4" w:space="0"/>
        <w:left w:val="single" w:color="416429" w:themeColor="accent6" w:themeShade="95" w:sz="4" w:space="0"/>
        <w:bottom w:val="single" w:color="416429" w:themeColor="accent6" w:themeShade="95" w:sz="4" w:space="0"/>
        <w:right w:val="single" w:color="416429" w:themeColor="accent6" w:themeShade="95" w:sz="4" w:space="0"/>
        <w:insideH w:val="single" w:color="416429" w:themeColor="accent6" w:themeShade="95" w:sz="4" w:space="0"/>
        <w:insideV w:val="single" w:color="416429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</w:style>
  <w:style w:type="table" w:styleId="868" w:customStyle="1">
    <w:name w:val="Bordered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869" w:customStyle="1">
    <w:name w:val="Bordered - Accent 1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BCD6EE" w:themeColor="accent1" w:themeTint="67" w:sz="4" w:space="0"/>
        <w:left w:val="single" w:color="BCD6EE" w:themeColor="accent1" w:themeTint="67" w:sz="4" w:space="0"/>
        <w:bottom w:val="single" w:color="BCD6EE" w:themeColor="accent1" w:themeTint="67" w:sz="4" w:space="0"/>
        <w:right w:val="single" w:color="BCD6EE" w:themeColor="accent1" w:themeTint="67" w:sz="4" w:space="0"/>
        <w:insideH w:val="single" w:color="BCD6EE" w:themeColor="accent1" w:themeTint="67" w:sz="4" w:space="0"/>
        <w:insideV w:val="single" w:color="BCD6EE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CD6EE" w:themeColor="accent1" w:themeTint="67" w:sz="4" w:space="0"/>
          <w:left w:val="single" w:color="BCD6EE" w:themeColor="accent1" w:themeTint="67" w:sz="4" w:space="0"/>
          <w:bottom w:val="single" w:color="BCD6EE" w:themeColor="accent1" w:themeTint="67" w:sz="4" w:space="0"/>
          <w:right w:val="single" w:color="BCD6EE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5B9BD5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5B9BD5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5B9BD5" w:themeColor="accent1" w:sz="12" w:space="0"/>
        </w:tcBorders>
      </w:tcPr>
    </w:tblStylePr>
  </w:style>
  <w:style w:type="table" w:styleId="870" w:customStyle="1">
    <w:name w:val="Bordered - Accent 2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7CAAB" w:themeColor="accent2" w:themeTint="67" w:sz="4" w:space="0"/>
        <w:left w:val="single" w:color="F7CAAB" w:themeColor="accent2" w:themeTint="67" w:sz="4" w:space="0"/>
        <w:bottom w:val="single" w:color="F7CAAB" w:themeColor="accent2" w:themeTint="67" w:sz="4" w:space="0"/>
        <w:right w:val="single" w:color="F7CAAB" w:themeColor="accent2" w:themeTint="67" w:sz="4" w:space="0"/>
        <w:insideH w:val="single" w:color="F7CAAB" w:themeColor="accent2" w:themeTint="67" w:sz="4" w:space="0"/>
        <w:insideV w:val="single" w:color="F7CAAB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7CAAB" w:themeColor="accent2" w:themeTint="67" w:sz="4" w:space="0"/>
          <w:left w:val="single" w:color="F7CAAB" w:themeColor="accent2" w:themeTint="67" w:sz="4" w:space="0"/>
          <w:bottom w:val="single" w:color="F7CAAB" w:themeColor="accent2" w:themeTint="67" w:sz="4" w:space="0"/>
          <w:right w:val="single" w:color="F7CAAB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4B184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4B184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4B184" w:themeColor="accent2" w:themeTint="97" w:sz="12" w:space="0"/>
        </w:tcBorders>
      </w:tcPr>
    </w:tblStylePr>
  </w:style>
  <w:style w:type="table" w:styleId="871" w:customStyle="1">
    <w:name w:val="Bordered - Accent 3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DADADA" w:themeColor="accent3" w:themeTint="67" w:sz="4" w:space="0"/>
        <w:left w:val="single" w:color="DADADA" w:themeColor="accent3" w:themeTint="67" w:sz="4" w:space="0"/>
        <w:bottom w:val="single" w:color="DADADA" w:themeColor="accent3" w:themeTint="67" w:sz="4" w:space="0"/>
        <w:right w:val="single" w:color="DADADA" w:themeColor="accent3" w:themeTint="67" w:sz="4" w:space="0"/>
        <w:insideH w:val="single" w:color="DADADA" w:themeColor="accent3" w:themeTint="67" w:sz="4" w:space="0"/>
        <w:insideV w:val="single" w:color="DADADA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ADADA" w:themeColor="accent3" w:themeTint="67" w:sz="4" w:space="0"/>
          <w:left w:val="single" w:color="DADADA" w:themeColor="accent3" w:themeTint="67" w:sz="4" w:space="0"/>
          <w:bottom w:val="single" w:color="DADADA" w:themeColor="accent3" w:themeTint="67" w:sz="4" w:space="0"/>
          <w:right w:val="single" w:color="DADADA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9C9C9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9C9C9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9C9C9" w:themeColor="accent3" w:themeTint="98" w:sz="12" w:space="0"/>
        </w:tcBorders>
      </w:tcPr>
    </w:tblStylePr>
  </w:style>
  <w:style w:type="table" w:styleId="872" w:customStyle="1">
    <w:name w:val="Bordered - Accent 4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E598" w:themeColor="accent4" w:themeTint="67" w:sz="4" w:space="0"/>
        <w:left w:val="single" w:color="FFE598" w:themeColor="accent4" w:themeTint="67" w:sz="4" w:space="0"/>
        <w:bottom w:val="single" w:color="FFE598" w:themeColor="accent4" w:themeTint="67" w:sz="4" w:space="0"/>
        <w:right w:val="single" w:color="FFE598" w:themeColor="accent4" w:themeTint="67" w:sz="4" w:space="0"/>
        <w:insideH w:val="single" w:color="FFE598" w:themeColor="accent4" w:themeTint="67" w:sz="4" w:space="0"/>
        <w:insideV w:val="single" w:color="FFE598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FE598" w:themeColor="accent4" w:themeTint="67" w:sz="4" w:space="0"/>
          <w:left w:val="single" w:color="FFE598" w:themeColor="accent4" w:themeTint="67" w:sz="4" w:space="0"/>
          <w:bottom w:val="single" w:color="FFE598" w:themeColor="accent4" w:themeTint="67" w:sz="4" w:space="0"/>
          <w:right w:val="single" w:color="FFE598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FD865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FD865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FD865" w:themeColor="accent4" w:themeTint="9A" w:sz="12" w:space="0"/>
        </w:tcBorders>
      </w:tcPr>
    </w:tblStylePr>
  </w:style>
  <w:style w:type="table" w:styleId="873" w:customStyle="1">
    <w:name w:val="Bordered - Accent 5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B3C5E7" w:themeColor="accent5" w:themeTint="67" w:sz="4" w:space="0"/>
        <w:left w:val="single" w:color="B3C5E7" w:themeColor="accent5" w:themeTint="67" w:sz="4" w:space="0"/>
        <w:bottom w:val="single" w:color="B3C5E7" w:themeColor="accent5" w:themeTint="67" w:sz="4" w:space="0"/>
        <w:right w:val="single" w:color="B3C5E7" w:themeColor="accent5" w:themeTint="67" w:sz="4" w:space="0"/>
        <w:insideH w:val="single" w:color="B3C5E7" w:themeColor="accent5" w:themeTint="67" w:sz="4" w:space="0"/>
        <w:insideV w:val="single" w:color="B3C5E7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3C5E7" w:themeColor="accent5" w:themeTint="67" w:sz="4" w:space="0"/>
          <w:left w:val="single" w:color="B3C5E7" w:themeColor="accent5" w:themeTint="67" w:sz="4" w:space="0"/>
          <w:bottom w:val="single" w:color="B3C5E7" w:themeColor="accent5" w:themeTint="67" w:sz="4" w:space="0"/>
          <w:right w:val="single" w:color="B3C5E7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8DA9DB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8DA9DB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8DA9DB" w:themeColor="accent5" w:themeTint="9A" w:sz="12" w:space="0"/>
        </w:tcBorders>
      </w:tcPr>
    </w:tblStylePr>
  </w:style>
  <w:style w:type="table" w:styleId="874" w:customStyle="1">
    <w:name w:val="Bordered - Accent 6"/>
    <w:basedOn w:val="721"/>
    <w:uiPriority w:val="99"/>
    <w:pPr>
      <w:spacing w:after="0" w:line="240" w:lineRule="auto"/>
    </w:pPr>
    <w:tblPr>
      <w:tblStyleRowBandSize w:val="1"/>
      <w:tblStyleColBandSize w:val="1"/>
      <w:tblBorders>
        <w:top w:val="single" w:color="C4DFB2" w:themeColor="accent6" w:themeTint="67" w:sz="4" w:space="0"/>
        <w:left w:val="single" w:color="C4DFB2" w:themeColor="accent6" w:themeTint="67" w:sz="4" w:space="0"/>
        <w:bottom w:val="single" w:color="C4DFB2" w:themeColor="accent6" w:themeTint="67" w:sz="4" w:space="0"/>
        <w:right w:val="single" w:color="C4DFB2" w:themeColor="accent6" w:themeTint="67" w:sz="4" w:space="0"/>
        <w:insideH w:val="single" w:color="C4DFB2" w:themeColor="accent6" w:themeTint="67" w:sz="4" w:space="0"/>
        <w:insideV w:val="single" w:color="C4DFB2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4DFB2" w:themeColor="accent6" w:themeTint="67" w:sz="4" w:space="0"/>
          <w:left w:val="single" w:color="C4DFB2" w:themeColor="accent6" w:themeTint="67" w:sz="4" w:space="0"/>
          <w:bottom w:val="single" w:color="C4DFB2" w:themeColor="accent6" w:themeTint="67" w:sz="4" w:space="0"/>
          <w:right w:val="single" w:color="C4DFB2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A9D08E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A9D08E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A9D08E" w:themeColor="accent6" w:themeTint="98" w:sz="12" w:space="0"/>
        </w:tcBorders>
      </w:tcPr>
    </w:tblStylePr>
  </w:style>
  <w:style w:type="paragraph" w:styleId="875">
    <w:name w:val="footnote text"/>
    <w:basedOn w:val="710"/>
    <w:link w:val="876"/>
    <w:uiPriority w:val="99"/>
    <w:semiHidden/>
    <w:unhideWhenUsed/>
    <w:pPr>
      <w:spacing w:after="40"/>
    </w:pPr>
    <w:rPr>
      <w:sz w:val="18"/>
    </w:rPr>
  </w:style>
  <w:style w:type="character" w:styleId="876" w:customStyle="1">
    <w:name w:val="Текст сноски Знак"/>
    <w:link w:val="875"/>
    <w:uiPriority w:val="99"/>
    <w:rPr>
      <w:sz w:val="18"/>
    </w:rPr>
  </w:style>
  <w:style w:type="character" w:styleId="877">
    <w:name w:val="footnote reference"/>
    <w:basedOn w:val="720"/>
    <w:uiPriority w:val="99"/>
    <w:unhideWhenUsed/>
    <w:rPr>
      <w:vertAlign w:val="superscript"/>
    </w:rPr>
  </w:style>
  <w:style w:type="paragraph" w:styleId="878">
    <w:name w:val="endnote text"/>
    <w:basedOn w:val="710"/>
    <w:link w:val="879"/>
    <w:uiPriority w:val="99"/>
    <w:semiHidden/>
    <w:unhideWhenUsed/>
    <w:rPr>
      <w:sz w:val="20"/>
    </w:rPr>
  </w:style>
  <w:style w:type="character" w:styleId="879" w:customStyle="1">
    <w:name w:val="Текст концевой сноски Знак"/>
    <w:link w:val="878"/>
    <w:uiPriority w:val="99"/>
    <w:rPr>
      <w:sz w:val="20"/>
    </w:rPr>
  </w:style>
  <w:style w:type="character" w:styleId="880">
    <w:name w:val="endnote reference"/>
    <w:basedOn w:val="720"/>
    <w:uiPriority w:val="99"/>
    <w:semiHidden/>
    <w:unhideWhenUsed/>
    <w:rPr>
      <w:vertAlign w:val="superscript"/>
    </w:rPr>
  </w:style>
  <w:style w:type="paragraph" w:styleId="881">
    <w:name w:val="TOC Heading"/>
    <w:uiPriority w:val="39"/>
    <w:unhideWhenUsed/>
  </w:style>
  <w:style w:type="paragraph" w:styleId="882">
    <w:name w:val="table of figures"/>
    <w:basedOn w:val="710"/>
    <w:next w:val="710"/>
    <w:uiPriority w:val="99"/>
    <w:unhideWhenUsed/>
  </w:style>
  <w:style w:type="character" w:styleId="883" w:customStyle="1">
    <w:name w:val="Обычный1"/>
    <w:rPr>
      <w:rFonts w:ascii="Times New Roman" w:hAnsi="Times New Roman"/>
      <w:sz w:val="24"/>
    </w:rPr>
  </w:style>
  <w:style w:type="paragraph" w:styleId="884" w:customStyle="1">
    <w:name w:val="wmi-callto"/>
    <w:link w:val="885"/>
  </w:style>
  <w:style w:type="character" w:styleId="885" w:customStyle="1">
    <w:name w:val="wmi-callto"/>
    <w:link w:val="884"/>
  </w:style>
  <w:style w:type="paragraph" w:styleId="886">
    <w:name w:val="toc 2"/>
    <w:next w:val="710"/>
    <w:link w:val="887"/>
    <w:uiPriority w:val="39"/>
    <w:pPr>
      <w:ind w:left="200"/>
    </w:pPr>
    <w:rPr>
      <w:rFonts w:ascii="XO Thames" w:hAnsi="XO Thames"/>
      <w:sz w:val="28"/>
    </w:rPr>
  </w:style>
  <w:style w:type="character" w:styleId="887" w:customStyle="1">
    <w:name w:val="Оглавление 2 Знак"/>
    <w:link w:val="886"/>
    <w:rPr>
      <w:rFonts w:ascii="XO Thames" w:hAnsi="XO Thames"/>
      <w:sz w:val="28"/>
    </w:rPr>
  </w:style>
  <w:style w:type="paragraph" w:styleId="888">
    <w:name w:val="toc 4"/>
    <w:next w:val="710"/>
    <w:link w:val="889"/>
    <w:uiPriority w:val="39"/>
    <w:pPr>
      <w:ind w:left="600"/>
    </w:pPr>
    <w:rPr>
      <w:rFonts w:ascii="XO Thames" w:hAnsi="XO Thames"/>
      <w:sz w:val="28"/>
    </w:rPr>
  </w:style>
  <w:style w:type="character" w:styleId="889" w:customStyle="1">
    <w:name w:val="Оглавление 4 Знак"/>
    <w:link w:val="888"/>
    <w:rPr>
      <w:rFonts w:ascii="XO Thames" w:hAnsi="XO Thames"/>
      <w:sz w:val="28"/>
    </w:rPr>
  </w:style>
  <w:style w:type="paragraph" w:styleId="890">
    <w:name w:val="Footer"/>
    <w:basedOn w:val="710"/>
    <w:link w:val="891"/>
    <w:pPr>
      <w:tabs>
        <w:tab w:val="center" w:pos="4677" w:leader="none"/>
        <w:tab w:val="right" w:pos="9355" w:leader="none"/>
      </w:tabs>
    </w:pPr>
  </w:style>
  <w:style w:type="character" w:styleId="891" w:customStyle="1">
    <w:name w:val="Нижний колонтитул Знак"/>
    <w:basedOn w:val="883"/>
    <w:link w:val="890"/>
    <w:rPr>
      <w:rFonts w:ascii="Times New Roman" w:hAnsi="Times New Roman"/>
      <w:sz w:val="24"/>
    </w:rPr>
  </w:style>
  <w:style w:type="paragraph" w:styleId="892">
    <w:name w:val="toc 6"/>
    <w:next w:val="710"/>
    <w:link w:val="893"/>
    <w:uiPriority w:val="39"/>
    <w:pPr>
      <w:ind w:left="1000"/>
    </w:pPr>
    <w:rPr>
      <w:rFonts w:ascii="XO Thames" w:hAnsi="XO Thames"/>
      <w:sz w:val="28"/>
    </w:rPr>
  </w:style>
  <w:style w:type="character" w:styleId="893" w:customStyle="1">
    <w:name w:val="Оглавление 6 Знак"/>
    <w:link w:val="892"/>
    <w:rPr>
      <w:rFonts w:ascii="XO Thames" w:hAnsi="XO Thames"/>
      <w:sz w:val="28"/>
    </w:rPr>
  </w:style>
  <w:style w:type="paragraph" w:styleId="894">
    <w:name w:val="toc 7"/>
    <w:next w:val="710"/>
    <w:link w:val="895"/>
    <w:uiPriority w:val="39"/>
    <w:pPr>
      <w:ind w:left="1200"/>
    </w:pPr>
    <w:rPr>
      <w:rFonts w:ascii="XO Thames" w:hAnsi="XO Thames"/>
      <w:sz w:val="28"/>
    </w:rPr>
  </w:style>
  <w:style w:type="character" w:styleId="895" w:customStyle="1">
    <w:name w:val="Оглавление 7 Знак"/>
    <w:link w:val="894"/>
    <w:rPr>
      <w:rFonts w:ascii="XO Thames" w:hAnsi="XO Thames"/>
      <w:sz w:val="28"/>
    </w:rPr>
  </w:style>
  <w:style w:type="paragraph" w:styleId="896">
    <w:name w:val="Body Text Indent 2"/>
    <w:basedOn w:val="710"/>
    <w:link w:val="897"/>
    <w:pPr>
      <w:ind w:left="283"/>
      <w:spacing w:after="120" w:line="480" w:lineRule="auto"/>
    </w:pPr>
  </w:style>
  <w:style w:type="character" w:styleId="897" w:customStyle="1">
    <w:name w:val="Основной текст с отступом 2 Знак"/>
    <w:basedOn w:val="883"/>
    <w:link w:val="896"/>
    <w:rPr>
      <w:rFonts w:ascii="Times New Roman" w:hAnsi="Times New Roman"/>
      <w:sz w:val="24"/>
    </w:rPr>
  </w:style>
  <w:style w:type="paragraph" w:styleId="898">
    <w:name w:val="List Paragraph"/>
    <w:basedOn w:val="710"/>
    <w:link w:val="899"/>
    <w:pPr>
      <w:contextualSpacing/>
      <w:ind w:left="720"/>
      <w:jc w:val="both"/>
    </w:pPr>
    <w:rPr>
      <w:sz w:val="28"/>
    </w:rPr>
  </w:style>
  <w:style w:type="character" w:styleId="899" w:customStyle="1">
    <w:name w:val="Абзац списка Знак"/>
    <w:basedOn w:val="883"/>
    <w:link w:val="898"/>
    <w:rPr>
      <w:rFonts w:ascii="Times New Roman" w:hAnsi="Times New Roman"/>
      <w:sz w:val="28"/>
    </w:rPr>
  </w:style>
  <w:style w:type="character" w:styleId="900" w:customStyle="1">
    <w:name w:val="Заголовок 3 Знак"/>
    <w:link w:val="713"/>
    <w:rPr>
      <w:rFonts w:ascii="XO Thames" w:hAnsi="XO Thames"/>
      <w:b/>
      <w:sz w:val="26"/>
    </w:rPr>
  </w:style>
  <w:style w:type="paragraph" w:styleId="901" w:customStyle="1">
    <w:name w:val="Обычный1"/>
    <w:link w:val="902"/>
    <w:rPr>
      <w:rFonts w:ascii="Times New Roman" w:hAnsi="Times New Roman"/>
      <w:sz w:val="24"/>
    </w:rPr>
  </w:style>
  <w:style w:type="character" w:styleId="902" w:customStyle="1">
    <w:name w:val="Обычный1"/>
    <w:link w:val="901"/>
    <w:rPr>
      <w:rFonts w:ascii="Times New Roman" w:hAnsi="Times New Roman"/>
      <w:sz w:val="24"/>
    </w:rPr>
  </w:style>
  <w:style w:type="paragraph" w:styleId="903" w:customStyle="1">
    <w:name w:val="Гиперссылка1"/>
    <w:link w:val="904"/>
    <w:rPr>
      <w:color w:val="0000ff"/>
      <w:u w:val="single"/>
    </w:rPr>
  </w:style>
  <w:style w:type="character" w:styleId="904" w:customStyle="1">
    <w:name w:val="Гиперссылка1"/>
    <w:link w:val="903"/>
    <w:rPr>
      <w:color w:val="0000ff"/>
      <w:u w:val="single"/>
    </w:rPr>
  </w:style>
  <w:style w:type="paragraph" w:styleId="905" w:customStyle="1">
    <w:name w:val="ConsPlusNormal"/>
    <w:link w:val="906"/>
    <w:pPr>
      <w:spacing w:after="0" w:line="240" w:lineRule="auto"/>
      <w:widowControl w:val="off"/>
    </w:pPr>
    <w:rPr>
      <w:rFonts w:ascii="Times New Roman" w:hAnsi="Times New Roman"/>
      <w:sz w:val="28"/>
    </w:rPr>
  </w:style>
  <w:style w:type="character" w:styleId="906" w:customStyle="1">
    <w:name w:val="ConsPlusNormal"/>
    <w:link w:val="905"/>
    <w:rPr>
      <w:rFonts w:ascii="Times New Roman" w:hAnsi="Times New Roman"/>
      <w:sz w:val="28"/>
    </w:rPr>
  </w:style>
  <w:style w:type="paragraph" w:styleId="907" w:customStyle="1">
    <w:name w:val="Гиперссылка1"/>
    <w:basedOn w:val="973"/>
    <w:link w:val="908"/>
    <w:rPr>
      <w:color w:val="0000ff"/>
      <w:u w:val="single"/>
    </w:rPr>
  </w:style>
  <w:style w:type="character" w:styleId="908" w:customStyle="1">
    <w:name w:val="Гиперссылка1"/>
    <w:basedOn w:val="974"/>
    <w:link w:val="907"/>
    <w:rPr>
      <w:color w:val="0000ff"/>
      <w:u w:val="single"/>
    </w:rPr>
  </w:style>
  <w:style w:type="paragraph" w:styleId="909" w:customStyle="1">
    <w:name w:val="Обычный1"/>
    <w:link w:val="910"/>
    <w:rPr>
      <w:rFonts w:ascii="Times New Roman" w:hAnsi="Times New Roman"/>
      <w:sz w:val="24"/>
    </w:rPr>
  </w:style>
  <w:style w:type="character" w:styleId="910" w:customStyle="1">
    <w:name w:val="Обычный1"/>
    <w:link w:val="909"/>
    <w:rPr>
      <w:rFonts w:ascii="Times New Roman" w:hAnsi="Times New Roman"/>
      <w:sz w:val="24"/>
    </w:rPr>
  </w:style>
  <w:style w:type="paragraph" w:styleId="911">
    <w:name w:val="Body Text First Indent"/>
    <w:basedOn w:val="919"/>
    <w:link w:val="912"/>
    <w:pPr>
      <w:ind w:firstLine="210"/>
    </w:pPr>
  </w:style>
  <w:style w:type="character" w:styleId="912" w:customStyle="1">
    <w:name w:val="Красная строка Знак"/>
    <w:basedOn w:val="920"/>
    <w:link w:val="911"/>
    <w:rPr>
      <w:rFonts w:ascii="Times New Roman" w:hAnsi="Times New Roman"/>
      <w:sz w:val="24"/>
    </w:rPr>
  </w:style>
  <w:style w:type="paragraph" w:styleId="913" w:customStyle="1">
    <w:name w:val="rmcbyeqv"/>
    <w:basedOn w:val="710"/>
    <w:link w:val="914"/>
    <w:pPr>
      <w:spacing w:beforeAutospacing="1" w:afterAutospacing="1"/>
    </w:pPr>
  </w:style>
  <w:style w:type="character" w:styleId="914" w:customStyle="1">
    <w:name w:val="rmcbyeqv"/>
    <w:basedOn w:val="883"/>
    <w:link w:val="913"/>
    <w:rPr>
      <w:rFonts w:ascii="Times New Roman" w:hAnsi="Times New Roman"/>
      <w:sz w:val="24"/>
    </w:rPr>
  </w:style>
  <w:style w:type="paragraph" w:styleId="915">
    <w:name w:val="annotation subject"/>
    <w:basedOn w:val="921"/>
    <w:next w:val="921"/>
    <w:link w:val="916"/>
    <w:rPr>
      <w:b/>
    </w:rPr>
  </w:style>
  <w:style w:type="character" w:styleId="916" w:customStyle="1">
    <w:name w:val="Тема примечания Знак"/>
    <w:basedOn w:val="922"/>
    <w:link w:val="915"/>
    <w:rPr>
      <w:rFonts w:ascii="Times New Roman" w:hAnsi="Times New Roman"/>
      <w:b/>
      <w:sz w:val="20"/>
    </w:rPr>
  </w:style>
  <w:style w:type="paragraph" w:styleId="917">
    <w:name w:val="toc 3"/>
    <w:next w:val="710"/>
    <w:link w:val="918"/>
    <w:uiPriority w:val="39"/>
    <w:pPr>
      <w:ind w:left="400"/>
    </w:pPr>
    <w:rPr>
      <w:rFonts w:ascii="XO Thames" w:hAnsi="XO Thames"/>
      <w:sz w:val="28"/>
    </w:rPr>
  </w:style>
  <w:style w:type="character" w:styleId="918" w:customStyle="1">
    <w:name w:val="Оглавление 3 Знак"/>
    <w:link w:val="917"/>
    <w:rPr>
      <w:rFonts w:ascii="XO Thames" w:hAnsi="XO Thames"/>
      <w:sz w:val="28"/>
    </w:rPr>
  </w:style>
  <w:style w:type="paragraph" w:styleId="919">
    <w:name w:val="Body Text"/>
    <w:basedOn w:val="710"/>
    <w:link w:val="920"/>
    <w:pPr>
      <w:spacing w:after="120"/>
    </w:pPr>
  </w:style>
  <w:style w:type="character" w:styleId="920" w:customStyle="1">
    <w:name w:val="Основной текст Знак"/>
    <w:basedOn w:val="883"/>
    <w:link w:val="919"/>
    <w:rPr>
      <w:rFonts w:ascii="Times New Roman" w:hAnsi="Times New Roman"/>
      <w:sz w:val="24"/>
    </w:rPr>
  </w:style>
  <w:style w:type="paragraph" w:styleId="921">
    <w:name w:val="annotation text"/>
    <w:basedOn w:val="710"/>
    <w:link w:val="922"/>
    <w:rPr>
      <w:sz w:val="20"/>
    </w:rPr>
  </w:style>
  <w:style w:type="character" w:styleId="922" w:customStyle="1">
    <w:name w:val="Текст примечания Знак"/>
    <w:basedOn w:val="883"/>
    <w:link w:val="921"/>
    <w:rPr>
      <w:rFonts w:ascii="Times New Roman" w:hAnsi="Times New Roman"/>
      <w:sz w:val="20"/>
    </w:rPr>
  </w:style>
  <w:style w:type="paragraph" w:styleId="923" w:customStyle="1">
    <w:name w:val="x_msonormal"/>
    <w:basedOn w:val="710"/>
    <w:link w:val="924"/>
    <w:pPr>
      <w:spacing w:beforeAutospacing="1" w:afterAutospacing="1"/>
    </w:pPr>
  </w:style>
  <w:style w:type="character" w:styleId="924" w:customStyle="1">
    <w:name w:val="x_msonormal"/>
    <w:basedOn w:val="883"/>
    <w:link w:val="923"/>
    <w:rPr>
      <w:rFonts w:ascii="Times New Roman" w:hAnsi="Times New Roman"/>
      <w:sz w:val="24"/>
    </w:rPr>
  </w:style>
  <w:style w:type="paragraph" w:styleId="925" w:customStyle="1">
    <w:name w:val="FR1"/>
    <w:link w:val="926"/>
    <w:pPr>
      <w:jc w:val="both"/>
      <w:spacing w:after="0" w:line="300" w:lineRule="auto"/>
      <w:widowControl w:val="off"/>
    </w:pPr>
    <w:rPr>
      <w:rFonts w:ascii="Times New Roman" w:hAnsi="Times New Roman"/>
      <w:sz w:val="24"/>
    </w:rPr>
  </w:style>
  <w:style w:type="character" w:styleId="926" w:customStyle="1">
    <w:name w:val="FR1"/>
    <w:link w:val="925"/>
    <w:rPr>
      <w:rFonts w:ascii="Times New Roman" w:hAnsi="Times New Roman"/>
      <w:sz w:val="24"/>
    </w:rPr>
  </w:style>
  <w:style w:type="paragraph" w:styleId="927" w:customStyle="1">
    <w:name w:val="rmcqvgpk"/>
    <w:basedOn w:val="710"/>
    <w:link w:val="928"/>
    <w:pPr>
      <w:spacing w:beforeAutospacing="1" w:afterAutospacing="1"/>
    </w:pPr>
  </w:style>
  <w:style w:type="character" w:styleId="928" w:customStyle="1">
    <w:name w:val="rmcqvgpk"/>
    <w:basedOn w:val="883"/>
    <w:link w:val="927"/>
    <w:rPr>
      <w:rFonts w:ascii="Times New Roman" w:hAnsi="Times New Roman"/>
      <w:sz w:val="24"/>
    </w:rPr>
  </w:style>
  <w:style w:type="character" w:styleId="929" w:customStyle="1">
    <w:name w:val="Заголовок 5 Знак"/>
    <w:link w:val="715"/>
    <w:rPr>
      <w:rFonts w:ascii="XO Thames" w:hAnsi="XO Thames"/>
      <w:b/>
    </w:rPr>
  </w:style>
  <w:style w:type="character" w:styleId="930" w:customStyle="1">
    <w:name w:val="Заголовок 1 Знак"/>
    <w:basedOn w:val="883"/>
    <w:link w:val="711"/>
    <w:rPr>
      <w:rFonts w:ascii="Arial" w:hAnsi="Arial"/>
      <w:b/>
      <w:sz w:val="32"/>
    </w:rPr>
  </w:style>
  <w:style w:type="paragraph" w:styleId="931">
    <w:name w:val="No Spacing"/>
    <w:link w:val="932"/>
    <w:pPr>
      <w:spacing w:after="0" w:line="240" w:lineRule="auto"/>
    </w:pPr>
    <w:rPr>
      <w:rFonts w:ascii="Calibri" w:hAnsi="Calibri"/>
    </w:rPr>
  </w:style>
  <w:style w:type="character" w:styleId="932" w:customStyle="1">
    <w:name w:val="Без интервала Знак"/>
    <w:link w:val="931"/>
    <w:rPr>
      <w:rFonts w:ascii="Calibri" w:hAnsi="Calibri"/>
    </w:rPr>
  </w:style>
  <w:style w:type="paragraph" w:styleId="933" w:customStyle="1">
    <w:name w:val="Гиперссылка2"/>
    <w:link w:val="934"/>
    <w:rPr>
      <w:color w:val="0000ff"/>
      <w:u w:val="single"/>
    </w:rPr>
  </w:style>
  <w:style w:type="character" w:styleId="934">
    <w:name w:val="Hyperlink"/>
    <w:link w:val="933"/>
    <w:rPr>
      <w:color w:val="0000ff"/>
      <w:u w:val="single"/>
    </w:rPr>
  </w:style>
  <w:style w:type="paragraph" w:styleId="935" w:customStyle="1">
    <w:name w:val="Footnote"/>
    <w:link w:val="936"/>
    <w:pPr>
      <w:ind w:firstLine="851"/>
      <w:jc w:val="both"/>
    </w:pPr>
    <w:rPr>
      <w:rFonts w:ascii="XO Thames" w:hAnsi="XO Thames"/>
    </w:rPr>
  </w:style>
  <w:style w:type="character" w:styleId="936" w:customStyle="1">
    <w:name w:val="Footnote"/>
    <w:link w:val="935"/>
    <w:rPr>
      <w:rFonts w:ascii="XO Thames" w:hAnsi="XO Thames"/>
    </w:rPr>
  </w:style>
  <w:style w:type="paragraph" w:styleId="937">
    <w:name w:val="Normal (Web)"/>
    <w:basedOn w:val="710"/>
    <w:link w:val="938"/>
    <w:pPr>
      <w:spacing w:beforeAutospacing="1" w:afterAutospacing="1"/>
    </w:pPr>
    <w:rPr>
      <w:rFonts w:ascii="Tahoma" w:hAnsi="Tahoma"/>
      <w:color w:val="313381"/>
      <w:sz w:val="18"/>
    </w:rPr>
  </w:style>
  <w:style w:type="character" w:styleId="938" w:customStyle="1">
    <w:name w:val="Обычный (веб) Знак"/>
    <w:basedOn w:val="883"/>
    <w:link w:val="937"/>
    <w:rPr>
      <w:rFonts w:ascii="Tahoma" w:hAnsi="Tahoma"/>
      <w:color w:val="313381"/>
      <w:sz w:val="18"/>
    </w:rPr>
  </w:style>
  <w:style w:type="paragraph" w:styleId="939" w:customStyle="1">
    <w:name w:val="Строгий1"/>
    <w:basedOn w:val="973"/>
    <w:link w:val="940"/>
    <w:rPr>
      <w:b/>
    </w:rPr>
  </w:style>
  <w:style w:type="character" w:styleId="940" w:customStyle="1">
    <w:name w:val="Строгий1"/>
    <w:basedOn w:val="974"/>
    <w:link w:val="939"/>
    <w:rPr>
      <w:b/>
    </w:rPr>
  </w:style>
  <w:style w:type="paragraph" w:styleId="941">
    <w:name w:val="toc 1"/>
    <w:next w:val="710"/>
    <w:link w:val="942"/>
    <w:uiPriority w:val="39"/>
    <w:rPr>
      <w:rFonts w:ascii="XO Thames" w:hAnsi="XO Thames"/>
      <w:b/>
      <w:sz w:val="28"/>
    </w:rPr>
  </w:style>
  <w:style w:type="character" w:styleId="942" w:customStyle="1">
    <w:name w:val="Оглавление 1 Знак"/>
    <w:link w:val="941"/>
    <w:rPr>
      <w:rFonts w:ascii="XO Thames" w:hAnsi="XO Thames"/>
      <w:b/>
      <w:sz w:val="28"/>
    </w:rPr>
  </w:style>
  <w:style w:type="paragraph" w:styleId="943" w:customStyle="1">
    <w:name w:val="ConsNormal"/>
    <w:link w:val="944"/>
    <w:pPr>
      <w:ind w:firstLine="720"/>
      <w:spacing w:after="0" w:line="240" w:lineRule="auto"/>
      <w:widowControl w:val="off"/>
    </w:pPr>
    <w:rPr>
      <w:rFonts w:ascii="Arial" w:hAnsi="Arial"/>
      <w:sz w:val="20"/>
    </w:rPr>
  </w:style>
  <w:style w:type="character" w:styleId="944" w:customStyle="1">
    <w:name w:val="ConsNormal"/>
    <w:link w:val="943"/>
    <w:rPr>
      <w:rFonts w:ascii="Arial" w:hAnsi="Arial"/>
      <w:sz w:val="20"/>
    </w:rPr>
  </w:style>
  <w:style w:type="paragraph" w:styleId="945" w:customStyle="1">
    <w:name w:val="Header and Footer"/>
    <w:link w:val="946"/>
    <w:pPr>
      <w:jc w:val="both"/>
      <w:spacing w:line="240" w:lineRule="auto"/>
    </w:pPr>
    <w:rPr>
      <w:rFonts w:ascii="XO Thames" w:hAnsi="XO Thames"/>
      <w:sz w:val="20"/>
    </w:rPr>
  </w:style>
  <w:style w:type="character" w:styleId="946" w:customStyle="1">
    <w:name w:val="Header and Footer"/>
    <w:link w:val="945"/>
    <w:rPr>
      <w:rFonts w:ascii="XO Thames" w:hAnsi="XO Thames"/>
      <w:sz w:val="20"/>
    </w:rPr>
  </w:style>
  <w:style w:type="paragraph" w:styleId="947" w:customStyle="1">
    <w:name w:val="Основной текст с отступом1"/>
    <w:basedOn w:val="710"/>
    <w:link w:val="948"/>
    <w:pPr>
      <w:spacing w:beforeAutospacing="1" w:afterAutospacing="1"/>
    </w:pPr>
    <w:rPr>
      <w:rFonts w:ascii="Calibri" w:hAnsi="Calibri"/>
    </w:rPr>
  </w:style>
  <w:style w:type="character" w:styleId="948" w:customStyle="1">
    <w:name w:val="Основной текст с отступом1"/>
    <w:basedOn w:val="883"/>
    <w:link w:val="947"/>
    <w:rPr>
      <w:rFonts w:ascii="Calibri" w:hAnsi="Calibri"/>
      <w:sz w:val="24"/>
    </w:rPr>
  </w:style>
  <w:style w:type="paragraph" w:styleId="949">
    <w:name w:val="toc 9"/>
    <w:next w:val="710"/>
    <w:link w:val="950"/>
    <w:uiPriority w:val="39"/>
    <w:pPr>
      <w:ind w:left="1600"/>
    </w:pPr>
    <w:rPr>
      <w:rFonts w:ascii="XO Thames" w:hAnsi="XO Thames"/>
      <w:sz w:val="28"/>
    </w:rPr>
  </w:style>
  <w:style w:type="character" w:styleId="950" w:customStyle="1">
    <w:name w:val="Оглавление 9 Знак"/>
    <w:link w:val="949"/>
    <w:rPr>
      <w:rFonts w:ascii="XO Thames" w:hAnsi="XO Thames"/>
      <w:sz w:val="28"/>
    </w:rPr>
  </w:style>
  <w:style w:type="paragraph" w:styleId="951">
    <w:name w:val="toc 8"/>
    <w:next w:val="710"/>
    <w:link w:val="952"/>
    <w:uiPriority w:val="39"/>
    <w:pPr>
      <w:ind w:left="1400"/>
    </w:pPr>
    <w:rPr>
      <w:rFonts w:ascii="XO Thames" w:hAnsi="XO Thames"/>
      <w:sz w:val="28"/>
    </w:rPr>
  </w:style>
  <w:style w:type="character" w:styleId="952" w:customStyle="1">
    <w:name w:val="Оглавление 8 Знак"/>
    <w:link w:val="951"/>
    <w:rPr>
      <w:rFonts w:ascii="XO Thames" w:hAnsi="XO Thames"/>
      <w:sz w:val="28"/>
    </w:rPr>
  </w:style>
  <w:style w:type="paragraph" w:styleId="953">
    <w:name w:val="Header"/>
    <w:basedOn w:val="710"/>
    <w:link w:val="954"/>
    <w:pPr>
      <w:tabs>
        <w:tab w:val="center" w:pos="4153" w:leader="none"/>
        <w:tab w:val="right" w:pos="8306" w:leader="none"/>
      </w:tabs>
    </w:pPr>
    <w:rPr>
      <w:rFonts w:asciiTheme="minorHAnsi" w:hAnsiTheme="minorHAnsi"/>
      <w:sz w:val="28"/>
    </w:rPr>
  </w:style>
  <w:style w:type="character" w:styleId="954" w:customStyle="1">
    <w:name w:val="Верхний колонтитул Знак"/>
    <w:basedOn w:val="883"/>
    <w:link w:val="953"/>
    <w:rPr>
      <w:rFonts w:asciiTheme="minorHAnsi" w:hAnsiTheme="minorHAnsi"/>
      <w:sz w:val="28"/>
    </w:rPr>
  </w:style>
  <w:style w:type="paragraph" w:styleId="955">
    <w:name w:val="toc 5"/>
    <w:next w:val="710"/>
    <w:link w:val="956"/>
    <w:uiPriority w:val="39"/>
    <w:pPr>
      <w:ind w:left="800"/>
    </w:pPr>
    <w:rPr>
      <w:rFonts w:ascii="XO Thames" w:hAnsi="XO Thames"/>
      <w:sz w:val="28"/>
    </w:rPr>
  </w:style>
  <w:style w:type="character" w:styleId="956" w:customStyle="1">
    <w:name w:val="Оглавление 5 Знак"/>
    <w:link w:val="955"/>
    <w:rPr>
      <w:rFonts w:ascii="XO Thames" w:hAnsi="XO Thames"/>
      <w:sz w:val="28"/>
    </w:rPr>
  </w:style>
  <w:style w:type="paragraph" w:styleId="957" w:customStyle="1">
    <w:name w:val="Знак примечания1"/>
    <w:basedOn w:val="973"/>
    <w:link w:val="958"/>
    <w:rPr>
      <w:sz w:val="16"/>
    </w:rPr>
  </w:style>
  <w:style w:type="character" w:styleId="958" w:customStyle="1">
    <w:name w:val="Знак примечания1"/>
    <w:basedOn w:val="974"/>
    <w:link w:val="957"/>
    <w:rPr>
      <w:sz w:val="16"/>
    </w:rPr>
  </w:style>
  <w:style w:type="paragraph" w:styleId="959">
    <w:name w:val="Body Text 2"/>
    <w:basedOn w:val="710"/>
    <w:link w:val="960"/>
    <w:pPr>
      <w:spacing w:after="120" w:line="480" w:lineRule="auto"/>
    </w:pPr>
  </w:style>
  <w:style w:type="character" w:styleId="960" w:customStyle="1">
    <w:name w:val="Основной текст 2 Знак"/>
    <w:basedOn w:val="883"/>
    <w:link w:val="959"/>
    <w:rPr>
      <w:rFonts w:ascii="Times New Roman" w:hAnsi="Times New Roman"/>
      <w:sz w:val="24"/>
    </w:rPr>
  </w:style>
  <w:style w:type="paragraph" w:styleId="961" w:customStyle="1">
    <w:name w:val="Default"/>
    <w:link w:val="962"/>
    <w:pPr>
      <w:spacing w:after="0" w:line="240" w:lineRule="auto"/>
    </w:pPr>
    <w:rPr>
      <w:rFonts w:ascii="Times New Roman" w:hAnsi="Times New Roman"/>
      <w:sz w:val="24"/>
    </w:rPr>
  </w:style>
  <w:style w:type="character" w:styleId="962" w:customStyle="1">
    <w:name w:val="Default"/>
    <w:link w:val="961"/>
    <w:rPr>
      <w:rFonts w:ascii="Times New Roman" w:hAnsi="Times New Roman"/>
      <w:sz w:val="24"/>
    </w:rPr>
  </w:style>
  <w:style w:type="paragraph" w:styleId="963" w:customStyle="1">
    <w:name w:val="Основной шрифт абзаца1"/>
    <w:link w:val="964"/>
  </w:style>
  <w:style w:type="character" w:styleId="964" w:customStyle="1">
    <w:name w:val="Основной шрифт абзаца1"/>
    <w:link w:val="963"/>
  </w:style>
  <w:style w:type="paragraph" w:styleId="965" w:customStyle="1">
    <w:name w:val="Основной шрифт абзаца2"/>
  </w:style>
  <w:style w:type="paragraph" w:styleId="966">
    <w:name w:val="Subtitle"/>
    <w:basedOn w:val="710"/>
    <w:next w:val="710"/>
    <w:link w:val="967"/>
    <w:uiPriority w:val="11"/>
    <w:qFormat/>
    <w:pPr>
      <w:ind w:left="709"/>
      <w:outlineLvl w:val="1"/>
    </w:pPr>
    <w:rPr>
      <w:b/>
      <w:i/>
    </w:rPr>
  </w:style>
  <w:style w:type="character" w:styleId="967" w:customStyle="1">
    <w:name w:val="Подзаголовок Знак"/>
    <w:basedOn w:val="883"/>
    <w:link w:val="966"/>
    <w:rPr>
      <w:rFonts w:ascii="Times New Roman" w:hAnsi="Times New Roman"/>
      <w:b/>
      <w:i/>
      <w:sz w:val="24"/>
    </w:rPr>
  </w:style>
  <w:style w:type="paragraph" w:styleId="968">
    <w:name w:val="Balloon Text"/>
    <w:basedOn w:val="710"/>
    <w:link w:val="969"/>
    <w:rPr>
      <w:rFonts w:ascii="Segoe UI" w:hAnsi="Segoe UI"/>
      <w:sz w:val="18"/>
    </w:rPr>
  </w:style>
  <w:style w:type="character" w:styleId="969" w:customStyle="1">
    <w:name w:val="Текст выноски Знак"/>
    <w:basedOn w:val="883"/>
    <w:link w:val="968"/>
    <w:rPr>
      <w:rFonts w:ascii="Segoe UI" w:hAnsi="Segoe UI"/>
      <w:sz w:val="18"/>
    </w:rPr>
  </w:style>
  <w:style w:type="paragraph" w:styleId="970">
    <w:name w:val="Title"/>
    <w:basedOn w:val="710"/>
    <w:next w:val="710"/>
    <w:link w:val="971"/>
    <w:uiPriority w:val="10"/>
    <w:qFormat/>
    <w:pPr>
      <w:contextualSpacing/>
    </w:pPr>
    <w:rPr>
      <w:rFonts w:asciiTheme="majorHAnsi" w:hAnsiTheme="majorHAnsi"/>
      <w:spacing w:val="-10"/>
      <w:sz w:val="56"/>
    </w:rPr>
  </w:style>
  <w:style w:type="character" w:styleId="971" w:customStyle="1">
    <w:name w:val="Название Знак"/>
    <w:basedOn w:val="883"/>
    <w:link w:val="970"/>
    <w:rPr>
      <w:rFonts w:asciiTheme="majorHAnsi" w:hAnsiTheme="majorHAnsi"/>
      <w:spacing w:val="-10"/>
      <w:sz w:val="56"/>
    </w:rPr>
  </w:style>
  <w:style w:type="character" w:styleId="972" w:customStyle="1">
    <w:name w:val="Заголовок 4 Знак"/>
    <w:link w:val="714"/>
    <w:rPr>
      <w:rFonts w:ascii="XO Thames" w:hAnsi="XO Thames"/>
      <w:b/>
      <w:sz w:val="24"/>
    </w:rPr>
  </w:style>
  <w:style w:type="paragraph" w:styleId="973" w:customStyle="1">
    <w:name w:val="Основной шрифт абзаца1"/>
    <w:link w:val="974"/>
  </w:style>
  <w:style w:type="character" w:styleId="974" w:customStyle="1">
    <w:name w:val="Основной шрифт абзаца1"/>
    <w:link w:val="973"/>
  </w:style>
  <w:style w:type="character" w:styleId="975" w:customStyle="1">
    <w:name w:val="Заголовок 2 Знак"/>
    <w:basedOn w:val="883"/>
    <w:link w:val="712"/>
    <w:rPr>
      <w:rFonts w:ascii="Arial" w:hAnsi="Arial"/>
      <w:b/>
      <w:i/>
      <w:sz w:val="24"/>
    </w:rPr>
  </w:style>
  <w:style w:type="paragraph" w:styleId="976" w:customStyle="1">
    <w:name w:val="Верхний колонтитул Знак1"/>
    <w:basedOn w:val="973"/>
    <w:link w:val="977"/>
    <w:rPr>
      <w:rFonts w:ascii="Times New Roman" w:hAnsi="Times New Roman"/>
      <w:sz w:val="24"/>
    </w:rPr>
  </w:style>
  <w:style w:type="character" w:styleId="977" w:customStyle="1">
    <w:name w:val="Верхний колонтитул Знак1"/>
    <w:basedOn w:val="974"/>
    <w:link w:val="976"/>
    <w:rPr>
      <w:rFonts w:ascii="Times New Roman" w:hAnsi="Times New Roman"/>
      <w:sz w:val="24"/>
    </w:rPr>
  </w:style>
  <w:style w:type="table" w:styleId="978">
    <w:name w:val="Table Grid"/>
    <w:basedOn w:val="721"/>
    <w:pPr>
      <w:spacing w:after="0" w:line="240" w:lineRule="auto"/>
    </w:pPr>
    <w:rPr>
      <w:rFonts w:ascii="Calibri" w:hAnsi="Calibri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979" w:customStyle="1">
    <w:name w:val="228bf8a64b8551e1msonormal"/>
    <w:pPr>
      <w:spacing w:before="100" w:beforeAutospacing="1" w:after="100" w:afterAutospacing="1" w:line="240" w:lineRule="auto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</w:pPr>
    <w:rPr>
      <w:rFonts w:ascii="Times New Roman" w:hAnsi="Times New Roman"/>
      <w:color w:val="auto"/>
      <w:sz w:val="24"/>
      <w:szCs w:val="24"/>
    </w:rPr>
  </w:style>
  <w:style w:type="paragraph" w:styleId="980" w:customStyle="1">
    <w:name w:val="msonormalmrcssattr_mr_css_attr"/>
    <w:pPr>
      <w:spacing w:before="100" w:beforeAutospacing="1" w:after="100" w:afterAutospacing="1" w:line="240" w:lineRule="auto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</w:pPr>
    <w:rPr>
      <w:rFonts w:ascii="Times New Roman" w:hAnsi="Times New Roman"/>
      <w:color w:val="auto"/>
      <w:sz w:val="24"/>
      <w:szCs w:val="24"/>
    </w:rPr>
  </w:style>
  <w:style w:type="paragraph" w:styleId="981" w:customStyle="1">
    <w:name w:val="Standard"/>
    <w:pPr>
      <w:spacing w:after="0" w:line="240" w:lineRule="auto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</w:pPr>
    <w:rPr>
      <w:rFonts w:ascii="Liberation Serif" w:hAnsi="Liberation Serif" w:eastAsia="Droid Sans Fallback" w:cs="Droid Sans Devanagari"/>
      <w:color w:val="auto"/>
      <w:sz w:val="24"/>
      <w:szCs w:val="24"/>
      <w:lang w:eastAsia="zh-CN" w:bidi="hi-IN"/>
    </w:rPr>
  </w:style>
  <w:style w:type="paragraph" w:styleId="982" w:customStyle="1">
    <w:name w:val="Основной текст с отступом2"/>
    <w:pPr>
      <w:ind w:left="283"/>
      <w:spacing w:after="120" w:line="240" w:lineRule="auto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</w:pPr>
    <w:rPr>
      <w:rFonts w:ascii="Times New Roman" w:hAnsi="Times New Roman"/>
      <w:color w:val="auto"/>
      <w:sz w:val="24"/>
      <w:szCs w:val="24"/>
      <w:lang w:eastAsia="en-US"/>
    </w:rPr>
  </w:style>
  <w:style w:type="paragraph" w:styleId="983" w:customStyle="1">
    <w:name w:val="docdata;docy;v5;6752;bqiaagaaeyqcaaagiaiaaaphgqaabduzaaaaaaaaaaaaaaaaaaaaaaaaaaaaaaaaaaaaaaaaaaaaaaaaaaaaaaaaaaaaaaaaaaaaaaaaaaaaaaaaaaaaaaaaaaaaaaaaaaaaaaaaaaaaaaaaaaaaaaaaaaaaaaaaaaaaaaaaaaaaaaaaaaaaaaaaaaaaaaaaaaaaaaaaaaaaaaaaaaaaaaaaaaaaaaaaaaaaaaaa"/>
    <w:pPr>
      <w:spacing w:before="100" w:beforeAutospacing="1" w:after="100" w:afterAutospacing="1" w:line="240" w:lineRule="auto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</w:pPr>
    <w:rPr>
      <w:rFonts w:ascii="Times New Roman" w:hAnsi="Times New Roman"/>
      <w:color w:val="auto"/>
      <w:sz w:val="24"/>
      <w:szCs w:val="24"/>
    </w:rPr>
  </w:style>
  <w:style w:type="paragraph" w:styleId="984" w:customStyle="1">
    <w:name w:val="Основной текст с отступом3"/>
    <w:pPr>
      <w:ind w:left="283"/>
      <w:spacing w:after="120" w:line="240" w:lineRule="auto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</w:pPr>
    <w:rPr>
      <w:rFonts w:ascii="Times New Roman" w:hAnsi="Times New Roman"/>
      <w:sz w:val="24"/>
      <w:lang w:eastAsia="zh-CN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</a:gradFill>
      </a:fillStyleLst>
      <a:lnStyleLst>
        <a:ln w="6350">
          <a:solidFill>
            <a:schemeClr val="phClr"/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2149A1-CED3-4182-B3C2-7C6FD8796F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Р7-Офис/7.4.0.341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Д. Марусина</dc:creator>
  <cp:revision>111</cp:revision>
  <dcterms:created xsi:type="dcterms:W3CDTF">2023-01-25T03:46:00Z</dcterms:created>
  <dcterms:modified xsi:type="dcterms:W3CDTF">2024-02-21T08:43:48Z</dcterms:modified>
</cp:coreProperties>
</file>