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ского района Новосибирской области от 10.10.2023 № 2344-па «О внесении изменений в постановление администрации Новосибирского района Новосибирской области от 04.08.2021 № 1389-па «Об утверждении Порядка предоставления субсидий юридическим лицам (за исключе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Новосибирского района Новосибирской области в рамках реализации муниципальной программы Новосибирск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района Новосибирской области «Развитие и поддержка субъектов среднего и малого предпринимательства Новосибирского района Новосибирской области на 2017-2024 годы», утвержденной постановлением администрации Новосибирского района Новосибирской области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21.03.2017 № 446-па»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.02.2024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15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03.2024.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г.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2024-02-14T07:54:30Z</dcterms:modified>
</cp:coreProperties>
</file>