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__________ №_________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1049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ПРИЛОЖЕНИЕ № </w:t>
      </w:r>
      <w:r>
        <w:rPr>
          <w:rFonts w:eastAsiaTheme="minorHAnsi"/>
          <w:sz w:val="28"/>
          <w:szCs w:val="28"/>
          <w:lang w:eastAsia="en-US"/>
        </w:rPr>
        <w:t xml:space="preserve">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1049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муниципальной программе «Экология и охрана окружающей среды Новосибирского района Новосибирской области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1049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2024 – 2026 годы»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r/>
      <w:r/>
    </w:p>
    <w:p>
      <w:pPr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ОСНОВНЫЕ МЕРОПРИЯТИЯ И ФИНАНСОВОЕ ОБЕСПЕЧЕНИЕ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муниципальной программы Новосибирского района Новосибирской области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Экология и охрана окружающей среды Новосибирског</w:t>
      </w:r>
      <w:r>
        <w:rPr>
          <w:b/>
          <w:color w:val="000000"/>
          <w:sz w:val="28"/>
          <w:szCs w:val="28"/>
        </w:rPr>
        <w:t xml:space="preserve">о района Новосибирской области </w:t>
      </w:r>
      <w:r>
        <w:rPr>
          <w:b/>
          <w:color w:val="000000"/>
          <w:sz w:val="28"/>
          <w:szCs w:val="28"/>
        </w:rPr>
        <w:t xml:space="preserve">на 2024 – 2026 годы</w:t>
      </w:r>
      <w:r>
        <w:rPr>
          <w:b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left="11328" w:right="111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тыс.руб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857"/>
        <w:tblInd w:w="-8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45"/>
        <w:gridCol w:w="2129"/>
        <w:gridCol w:w="1892"/>
        <w:gridCol w:w="1843"/>
        <w:gridCol w:w="247"/>
        <w:gridCol w:w="1589"/>
        <w:gridCol w:w="1951"/>
        <w:gridCol w:w="2403"/>
      </w:tblGrid>
      <w:tr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Цель, задача, меро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6" w:type="dxa"/>
              <w:right w:w="108" w:type="dxa"/>
              <w:bottom w:w="6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Цель: Создание благоприятной окружающей среды, нормализация экологической обстановки и стабилизация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эпизоотической ситуации, связанной с заболеваниями бешенством на территории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Стабилизация ситуации в сфере обращения с твердыми коммунальными отходами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иквидация несанкционированных мест размещения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19372,67880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59372,67880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  <w:t xml:space="preserve">19372,67880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59372,67880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Обустройство площадок накопления твердых коммунальных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631,57886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631,57895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631,57895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1894,73676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 среды, администрации Морского, Березовского, Раздольненского, Станционного 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599,99993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1799,99993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31,57893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31,57895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31,57895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94,73683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азработка проектно-сметной документации на ликвидацию несанкционированных мест размещения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436,66667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2000,00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500,00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2936,66667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среды, администрация Морского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436,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66667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500,00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2936,66667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проектно-сметной документации для проведения работ по рекультивации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4000,00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8000,00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8000,00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r>
              <w:t xml:space="preserve">1.5.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r>
              <w:t xml:space="preserve">Разработка проектно-сметной документации для рекультивации полигона твердых коммунальных отходов на территории Криводановского сельсовета 99.24.10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24242,53954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24242,53954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t xml:space="preserve">, администрация Криводановского сельсовета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23030,00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23030,00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 1212,53954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1212,53954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2. Обеспечение безопасности жизни населения, стабилизация эпизоотической ситуации, связанной с заболеваниями бешенством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профилактической работы с заболеванием бешенством, снижение численности бродячих и безнадзорных животных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5896,044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3160,00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6460,00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15516,044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бюджет Новосибирской области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2596,044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1160,00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1160,00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4916,044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2000,00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5300,00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10600,00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94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3. Экологическое образование, воспитание и информирование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информационных мероприятий, фестивалей, направленных на повышение экологической грамотности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421,05264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421,05264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842,10528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среды, администрация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Новолуговского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800,00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21,05264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21,05264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42,10528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акции «Мой зеленый район»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4799,01655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1000,00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7799,01655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4799,01655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1000,00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t xml:space="preserve">7799,01655</w:t>
            </w:r>
            <w:r/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Задача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 Сокращение антропогенного воздействия, экологическая реабилитация и восстановление водных объектов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мер по экологической реабилитации, восстановлению и улучшению экологического состояния водных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Код мероприятия 99.24.09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6000,00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по природным ресурсам и охране окружающей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vMerge w:val="restart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6000,00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затрат,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33135,98488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57455,17113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33712,63159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124303,7876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бюджет Новосибирской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области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2596,044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1160,00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1160,00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4916,044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Новосибирского района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30508,36195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55030,00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32500,00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118038,36195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9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1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муниципальных образований Новосибирского района &lt;*&gt;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31,57893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1265,17113</w:t>
            </w:r>
            <w:r>
              <w:rPr>
                <w:b/>
                <w:bCs/>
                <w:highlight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52,63159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19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1349,38165</w:t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2403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-456"/>
        <w:jc w:val="both"/>
        <w:spacing w:line="240" w:lineRule="atLeast"/>
        <w:widowControl w:val="off"/>
      </w:pPr>
      <w:r>
        <w:rPr>
          <w:rFonts w:eastAsia="Calibri"/>
        </w:rPr>
        <w:t xml:space="preserve">&lt;*&gt; Указываются прогнозные значения.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</w:t>
      </w:r>
      <w:r>
        <w:rPr>
          <w:rFonts w:eastAsia="Calibri"/>
          <w:sz w:val="28"/>
        </w:rPr>
        <w:t xml:space="preserve">  ».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47679270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5"/>
    <w:next w:val="8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5"/>
    <w:next w:val="855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6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6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6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6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6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5"/>
    <w:uiPriority w:val="34"/>
    <w:qFormat/>
    <w:pPr>
      <w:contextualSpacing/>
      <w:ind w:left="720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0"/>
    <w:uiPriority w:val="99"/>
  </w:style>
  <w:style w:type="character" w:styleId="708">
    <w:name w:val="Footer Char"/>
    <w:basedOn w:val="856"/>
    <w:link w:val="862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2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Header"/>
    <w:basedOn w:val="855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6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Footer"/>
    <w:basedOn w:val="855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6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>
    <w:name w:val="Balloon Text"/>
    <w:basedOn w:val="855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6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Тимофеева</dc:creator>
  <cp:keywords/>
  <dc:description/>
  <cp:revision>24</cp:revision>
  <dcterms:created xsi:type="dcterms:W3CDTF">2021-01-20T09:12:00Z</dcterms:created>
  <dcterms:modified xsi:type="dcterms:W3CDTF">2024-11-29T04:33:41Z</dcterms:modified>
</cp:coreProperties>
</file>