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1F6" w:rsidRPr="00F4634F" w:rsidRDefault="008051F6" w:rsidP="00862CB9">
      <w:pPr>
        <w:pStyle w:val="ConsPlusNormal"/>
        <w:jc w:val="both"/>
        <w:rPr>
          <w:rFonts w:ascii="Times New Roman" w:hAnsi="Times New Roman" w:cs="Times New Roman"/>
          <w:b/>
          <w:sz w:val="28"/>
          <w:szCs w:val="28"/>
        </w:rPr>
      </w:pPr>
    </w:p>
    <w:p w:rsidR="000E07A1" w:rsidRPr="000E07A1" w:rsidRDefault="000E07A1" w:rsidP="000E07A1">
      <w:pPr>
        <w:jc w:val="center"/>
        <w:rPr>
          <w:sz w:val="28"/>
          <w:szCs w:val="28"/>
        </w:rPr>
      </w:pPr>
      <w:r w:rsidRPr="000E07A1">
        <w:rPr>
          <w:sz w:val="28"/>
          <w:szCs w:val="28"/>
        </w:rPr>
        <w:t>Инвестиционное послание Главы</w:t>
      </w:r>
    </w:p>
    <w:p w:rsidR="000E07A1" w:rsidRPr="000E07A1" w:rsidRDefault="000E07A1" w:rsidP="000E07A1">
      <w:pPr>
        <w:jc w:val="center"/>
        <w:rPr>
          <w:sz w:val="28"/>
          <w:szCs w:val="28"/>
        </w:rPr>
      </w:pPr>
      <w:r w:rsidRPr="000E07A1">
        <w:rPr>
          <w:sz w:val="28"/>
          <w:szCs w:val="28"/>
        </w:rPr>
        <w:t>Новосибирского района Новосибирской области</w:t>
      </w:r>
    </w:p>
    <w:p w:rsidR="000E07A1" w:rsidRPr="000E07A1" w:rsidRDefault="000E07A1" w:rsidP="000E07A1">
      <w:pPr>
        <w:jc w:val="center"/>
        <w:rPr>
          <w:sz w:val="28"/>
          <w:szCs w:val="28"/>
        </w:rPr>
      </w:pPr>
      <w:r w:rsidRPr="000E07A1">
        <w:rPr>
          <w:sz w:val="28"/>
          <w:szCs w:val="28"/>
        </w:rPr>
        <w:t>на 2021 год</w:t>
      </w:r>
    </w:p>
    <w:p w:rsidR="000E07A1" w:rsidRPr="000E07A1" w:rsidRDefault="000E07A1" w:rsidP="000E07A1">
      <w:pPr>
        <w:jc w:val="center"/>
        <w:rPr>
          <w:sz w:val="28"/>
          <w:szCs w:val="28"/>
        </w:rPr>
      </w:pPr>
    </w:p>
    <w:p w:rsidR="000E07A1" w:rsidRPr="000E07A1" w:rsidRDefault="000E07A1" w:rsidP="000E07A1">
      <w:pPr>
        <w:jc w:val="center"/>
        <w:rPr>
          <w:sz w:val="28"/>
          <w:szCs w:val="28"/>
        </w:rPr>
      </w:pPr>
      <w:r w:rsidRPr="000E07A1">
        <w:rPr>
          <w:sz w:val="28"/>
          <w:szCs w:val="28"/>
        </w:rPr>
        <w:t>Уважаемые коллеги, партнеры и жители Новосибирского района!</w:t>
      </w:r>
    </w:p>
    <w:p w:rsidR="000E07A1" w:rsidRPr="000E07A1" w:rsidRDefault="000E07A1" w:rsidP="000E07A1">
      <w:pPr>
        <w:jc w:val="center"/>
        <w:rPr>
          <w:sz w:val="28"/>
          <w:szCs w:val="28"/>
        </w:rPr>
      </w:pPr>
    </w:p>
    <w:p w:rsidR="000E07A1" w:rsidRDefault="000E07A1" w:rsidP="000E07A1">
      <w:pPr>
        <w:ind w:firstLine="708"/>
        <w:jc w:val="both"/>
        <w:rPr>
          <w:rFonts w:eastAsiaTheme="minorHAnsi"/>
          <w:sz w:val="28"/>
          <w:szCs w:val="28"/>
          <w:lang w:eastAsia="en-US"/>
        </w:rPr>
      </w:pPr>
      <w:r w:rsidRPr="000E07A1">
        <w:rPr>
          <w:rFonts w:eastAsiaTheme="minorHAnsi"/>
          <w:sz w:val="28"/>
          <w:szCs w:val="28"/>
          <w:lang w:eastAsia="en-US"/>
        </w:rPr>
        <w:t xml:space="preserve">Благополучие жителей нашего района напрямую зависит от состояния экономики, от ее устойчивости и стабильности развития. Основной задачей органов местного самоуправления в сфере инвестиционной политики остается увеличение объёмов инвестиций в экономику района. </w:t>
      </w:r>
    </w:p>
    <w:p w:rsidR="00255F48" w:rsidRPr="00255F48" w:rsidRDefault="00255F48" w:rsidP="00255F48">
      <w:pPr>
        <w:autoSpaceDE w:val="0"/>
        <w:autoSpaceDN w:val="0"/>
        <w:adjustRightInd w:val="0"/>
        <w:ind w:firstLine="709"/>
        <w:jc w:val="both"/>
        <w:rPr>
          <w:sz w:val="28"/>
          <w:szCs w:val="28"/>
        </w:rPr>
      </w:pPr>
      <w:r w:rsidRPr="00255F48">
        <w:rPr>
          <w:sz w:val="28"/>
          <w:szCs w:val="28"/>
        </w:rPr>
        <w:t xml:space="preserve">Новосибирский район лидер в рейтинге инвестиционной привлекательности муниципальных районов и городских округов Новосибирской области. </w:t>
      </w:r>
    </w:p>
    <w:p w:rsidR="00255F48" w:rsidRPr="00255F48" w:rsidRDefault="00255F48" w:rsidP="00255F48">
      <w:pPr>
        <w:shd w:val="clear" w:color="auto" w:fill="FFFFFF"/>
        <w:spacing w:line="300" w:lineRule="atLeast"/>
        <w:ind w:firstLine="709"/>
        <w:jc w:val="both"/>
        <w:rPr>
          <w:sz w:val="28"/>
          <w:szCs w:val="28"/>
        </w:rPr>
      </w:pPr>
      <w:r w:rsidRPr="00255F48">
        <w:rPr>
          <w:sz w:val="28"/>
          <w:szCs w:val="28"/>
        </w:rPr>
        <w:t xml:space="preserve"> </w:t>
      </w:r>
      <w:r w:rsidRPr="00255F48">
        <w:rPr>
          <w:rFonts w:ascii="inherit" w:hAnsi="inherit"/>
          <w:color w:val="000000"/>
          <w:sz w:val="23"/>
          <w:szCs w:val="23"/>
        </w:rPr>
        <w:t> </w:t>
      </w:r>
      <w:r w:rsidRPr="00255F48">
        <w:rPr>
          <w:sz w:val="28"/>
          <w:szCs w:val="28"/>
        </w:rPr>
        <w:t>Привлечение внебюджетных инвестиций по-прежнему остаётся одной из актуальных задач деятельности администрации, направленных на диверсификацию экономики и улучшение жизни качества населения.</w:t>
      </w:r>
    </w:p>
    <w:p w:rsidR="00255F48" w:rsidRPr="00255F48" w:rsidRDefault="00255F48" w:rsidP="00255F48">
      <w:pPr>
        <w:shd w:val="clear" w:color="auto" w:fill="FFFFFF"/>
        <w:spacing w:line="300" w:lineRule="atLeast"/>
        <w:ind w:firstLine="709"/>
        <w:jc w:val="both"/>
        <w:rPr>
          <w:sz w:val="28"/>
          <w:szCs w:val="28"/>
        </w:rPr>
      </w:pPr>
      <w:r w:rsidRPr="00255F48">
        <w:rPr>
          <w:sz w:val="28"/>
          <w:szCs w:val="28"/>
        </w:rPr>
        <w:t> В этой связи мы принимаем все возможные меры по созданию благоприятных условий для ведения предпринимательской и инвестиционной деятельности.</w:t>
      </w:r>
    </w:p>
    <w:p w:rsidR="00255F48" w:rsidRPr="00255F48" w:rsidRDefault="00255F48" w:rsidP="00255F48">
      <w:pPr>
        <w:autoSpaceDE w:val="0"/>
        <w:autoSpaceDN w:val="0"/>
        <w:adjustRightInd w:val="0"/>
        <w:ind w:firstLine="708"/>
        <w:jc w:val="both"/>
        <w:rPr>
          <w:rFonts w:eastAsiaTheme="minorHAnsi"/>
          <w:sz w:val="28"/>
          <w:szCs w:val="28"/>
          <w:lang w:eastAsia="en-US"/>
        </w:rPr>
      </w:pPr>
      <w:r w:rsidRPr="00255F48">
        <w:rPr>
          <w:rFonts w:eastAsiaTheme="minorHAnsi"/>
          <w:sz w:val="28"/>
          <w:szCs w:val="28"/>
          <w:lang w:eastAsia="en-US"/>
        </w:rPr>
        <w:t>В муниципальном образовании сформирован реестр из 161 инвестиционного проекта на сумму 150 млрд рублей, из которых по итогам 2020 года 28 проектов относятся к группе реализованных, 76 проектов - к группе реализуемых, 57 проектов - планируемых к реализации. Из них 36 инвестиционных проектов относятся к сфере жилищно-коммунального хозяйства, 30 - в сфере образования, 25 - в сфере жилищного строительства, 15 ориентированы на развитие промышленности и логистических парков, 14 - в сфере АПК, 13 - в сфере физической культуры и спорта, 13 - в сфере культуры, 10 - в сфере торговли и бытовых услуг, 5 проектов - в здравоохранении.</w:t>
      </w:r>
    </w:p>
    <w:p w:rsidR="00255F48" w:rsidRPr="00255F48" w:rsidRDefault="00255F48" w:rsidP="00255F48">
      <w:pPr>
        <w:tabs>
          <w:tab w:val="left" w:pos="567"/>
          <w:tab w:val="left" w:pos="3255"/>
        </w:tabs>
        <w:ind w:firstLine="709"/>
        <w:jc w:val="both"/>
        <w:rPr>
          <w:sz w:val="28"/>
          <w:szCs w:val="28"/>
        </w:rPr>
      </w:pPr>
      <w:r w:rsidRPr="00255F48">
        <w:rPr>
          <w:sz w:val="28"/>
          <w:szCs w:val="28"/>
        </w:rPr>
        <w:t xml:space="preserve">В 2020 году, несмотря на общую экономическую ситуацию, связанную с распространением новой </w:t>
      </w:r>
      <w:proofErr w:type="spellStart"/>
      <w:r w:rsidRPr="00255F48">
        <w:rPr>
          <w:sz w:val="28"/>
          <w:szCs w:val="28"/>
        </w:rPr>
        <w:t>короновирусной</w:t>
      </w:r>
      <w:proofErr w:type="spellEnd"/>
      <w:r w:rsidRPr="00255F48">
        <w:rPr>
          <w:sz w:val="28"/>
          <w:szCs w:val="28"/>
        </w:rPr>
        <w:t xml:space="preserve"> инфекции, на инвестирование экономики и социальной сферы района за счет всех источников финансирования направлено</w:t>
      </w:r>
      <w:r w:rsidRPr="00255F48">
        <w:t xml:space="preserve"> </w:t>
      </w:r>
      <w:r w:rsidRPr="00255F48">
        <w:rPr>
          <w:sz w:val="28"/>
          <w:szCs w:val="28"/>
        </w:rPr>
        <w:t xml:space="preserve">36 980 млн руб. или 112,9 % к уровню 2019 года (в сопоставимых ценах). Доля внебюджетных инвестиций в общем объеме составляет 91 %.  </w:t>
      </w:r>
    </w:p>
    <w:p w:rsidR="00255F48" w:rsidRPr="00255F48" w:rsidRDefault="00255F48" w:rsidP="00255F48">
      <w:pPr>
        <w:tabs>
          <w:tab w:val="left" w:pos="567"/>
          <w:tab w:val="left" w:pos="10065"/>
          <w:tab w:val="left" w:pos="10206"/>
        </w:tabs>
        <w:ind w:firstLine="709"/>
        <w:jc w:val="both"/>
        <w:rPr>
          <w:sz w:val="28"/>
          <w:szCs w:val="28"/>
        </w:rPr>
      </w:pPr>
      <w:r w:rsidRPr="00255F48">
        <w:rPr>
          <w:sz w:val="28"/>
          <w:szCs w:val="28"/>
        </w:rPr>
        <w:t xml:space="preserve">В прошедшем году в Новосибирском районе коммерческими предприятиями введены в эксплуатацию 4 крупных объекта: </w:t>
      </w:r>
    </w:p>
    <w:p w:rsidR="00255F48" w:rsidRPr="00255F48" w:rsidRDefault="00255F48" w:rsidP="00255F48">
      <w:pPr>
        <w:tabs>
          <w:tab w:val="left" w:pos="567"/>
          <w:tab w:val="left" w:pos="10065"/>
          <w:tab w:val="left" w:pos="10206"/>
        </w:tabs>
        <w:ind w:firstLine="709"/>
        <w:jc w:val="both"/>
        <w:rPr>
          <w:sz w:val="28"/>
          <w:szCs w:val="28"/>
        </w:rPr>
      </w:pPr>
      <w:r w:rsidRPr="00255F48">
        <w:rPr>
          <w:sz w:val="28"/>
          <w:szCs w:val="28"/>
        </w:rPr>
        <w:t>- ПАО «Магнит» открыл распределительный центр в п. Садовый (Станционный сельсовет). Объём инвестиций в проект составил 2 000,0 млн руб. Общая площадь склада составляет более 40 000 кв. м. Он будет обслуживать 450 магазинов розничной сети в Новосибирской области и Алтайском крае;</w:t>
      </w:r>
    </w:p>
    <w:p w:rsidR="00255F48" w:rsidRPr="00255F48" w:rsidRDefault="00255F48" w:rsidP="00255F48">
      <w:pPr>
        <w:shd w:val="clear" w:color="auto" w:fill="FFFFFF"/>
        <w:ind w:firstLine="708"/>
        <w:jc w:val="both"/>
        <w:rPr>
          <w:sz w:val="28"/>
          <w:szCs w:val="28"/>
        </w:rPr>
      </w:pPr>
      <w:r w:rsidRPr="00255F48">
        <w:rPr>
          <w:sz w:val="28"/>
          <w:szCs w:val="28"/>
        </w:rPr>
        <w:t xml:space="preserve"> - </w:t>
      </w:r>
      <w:r w:rsidRPr="00255F48">
        <w:rPr>
          <w:rFonts w:eastAsia="Calibri"/>
          <w:color w:val="000000"/>
          <w:sz w:val="28"/>
          <w:szCs w:val="28"/>
          <w:shd w:val="clear" w:color="auto" w:fill="FFFFFF"/>
        </w:rPr>
        <w:t xml:space="preserve">на заводе Кока-Кола </w:t>
      </w:r>
      <w:proofErr w:type="spellStart"/>
      <w:r w:rsidRPr="00255F48">
        <w:rPr>
          <w:rFonts w:eastAsia="Calibri"/>
          <w:color w:val="000000"/>
          <w:sz w:val="28"/>
          <w:szCs w:val="28"/>
          <w:shd w:val="clear" w:color="auto" w:fill="FFFFFF"/>
        </w:rPr>
        <w:t>Эйч</w:t>
      </w:r>
      <w:proofErr w:type="spellEnd"/>
      <w:r w:rsidRPr="00255F48">
        <w:rPr>
          <w:rFonts w:eastAsia="Calibri"/>
          <w:color w:val="000000"/>
          <w:sz w:val="28"/>
          <w:szCs w:val="28"/>
          <w:shd w:val="clear" w:color="auto" w:fill="FFFFFF"/>
        </w:rPr>
        <w:t xml:space="preserve"> </w:t>
      </w:r>
      <w:proofErr w:type="spellStart"/>
      <w:r w:rsidRPr="00255F48">
        <w:rPr>
          <w:rFonts w:eastAsia="Calibri"/>
          <w:color w:val="000000"/>
          <w:sz w:val="28"/>
          <w:szCs w:val="28"/>
          <w:shd w:val="clear" w:color="auto" w:fill="FFFFFF"/>
        </w:rPr>
        <w:t>БиСи</w:t>
      </w:r>
      <w:proofErr w:type="spellEnd"/>
      <w:r w:rsidRPr="00255F48">
        <w:rPr>
          <w:rFonts w:eastAsia="Calibri"/>
          <w:color w:val="000000"/>
          <w:sz w:val="28"/>
          <w:szCs w:val="28"/>
          <w:shd w:val="clear" w:color="auto" w:fill="FFFFFF"/>
        </w:rPr>
        <w:t xml:space="preserve"> Евразия (</w:t>
      </w:r>
      <w:r w:rsidRPr="00255F48">
        <w:rPr>
          <w:color w:val="000000"/>
          <w:sz w:val="28"/>
          <w:szCs w:val="28"/>
          <w:shd w:val="clear" w:color="auto" w:fill="FFFFFF"/>
        </w:rPr>
        <w:t xml:space="preserve">Мичуринский сельсовет) </w:t>
      </w:r>
      <w:r w:rsidRPr="00255F48">
        <w:rPr>
          <w:rFonts w:eastAsia="Calibri"/>
          <w:color w:val="000000"/>
          <w:sz w:val="28"/>
          <w:szCs w:val="28"/>
          <w:shd w:val="clear" w:color="auto" w:fill="FFFFFF"/>
        </w:rPr>
        <w:t>введена в эксплуатацию новая производственная линия</w:t>
      </w:r>
      <w:r w:rsidRPr="00255F48">
        <w:rPr>
          <w:rFonts w:eastAsia="Calibri"/>
          <w:color w:val="000000"/>
          <w:sz w:val="28"/>
          <w:szCs w:val="28"/>
        </w:rPr>
        <w:t xml:space="preserve"> </w:t>
      </w:r>
      <w:r w:rsidRPr="00255F48">
        <w:rPr>
          <w:rFonts w:eastAsia="Calibri"/>
          <w:color w:val="000000"/>
          <w:sz w:val="28"/>
          <w:szCs w:val="28"/>
          <w:shd w:val="clear" w:color="auto" w:fill="FFFFFF"/>
        </w:rPr>
        <w:t>безалкогольных напитков в алюминиевой банке.</w:t>
      </w:r>
      <w:r w:rsidRPr="00255F48">
        <w:rPr>
          <w:color w:val="000000"/>
          <w:sz w:val="28"/>
          <w:szCs w:val="28"/>
        </w:rPr>
        <w:t xml:space="preserve"> </w:t>
      </w:r>
      <w:r w:rsidRPr="00255F48">
        <w:rPr>
          <w:rFonts w:eastAsia="Calibri"/>
          <w:color w:val="000000"/>
          <w:sz w:val="28"/>
          <w:szCs w:val="28"/>
          <w:shd w:val="clear" w:color="auto" w:fill="FFFFFF"/>
        </w:rPr>
        <w:t>Продолжается строительство складских помещений.</w:t>
      </w:r>
      <w:r w:rsidRPr="00255F48">
        <w:rPr>
          <w:sz w:val="28"/>
          <w:szCs w:val="28"/>
        </w:rPr>
        <w:t xml:space="preserve"> Объём инвестиций в проект составил 990 млн руб.;</w:t>
      </w:r>
    </w:p>
    <w:p w:rsidR="00255F48" w:rsidRPr="00255F48" w:rsidRDefault="00255F48" w:rsidP="00255F48">
      <w:pPr>
        <w:ind w:firstLine="708"/>
        <w:jc w:val="both"/>
        <w:rPr>
          <w:rFonts w:eastAsia="Calibri"/>
          <w:bCs/>
          <w:sz w:val="28"/>
          <w:szCs w:val="28"/>
        </w:rPr>
      </w:pPr>
      <w:r w:rsidRPr="00255F48">
        <w:rPr>
          <w:sz w:val="28"/>
          <w:szCs w:val="28"/>
        </w:rPr>
        <w:lastRenderedPageBreak/>
        <w:t xml:space="preserve">- в тепличном комплексе «Новосибирский» (Толмачевский сельсовет) </w:t>
      </w:r>
      <w:r w:rsidRPr="00255F48">
        <w:rPr>
          <w:sz w:val="28"/>
          <w:szCs w:val="28"/>
          <w:shd w:val="clear" w:color="auto" w:fill="FFFFFF"/>
        </w:rPr>
        <w:t>реконструированы два гектара </w:t>
      </w:r>
      <w:r w:rsidRPr="00255F48">
        <w:rPr>
          <w:bCs/>
          <w:sz w:val="28"/>
          <w:szCs w:val="28"/>
          <w:shd w:val="clear" w:color="auto" w:fill="FFFFFF"/>
        </w:rPr>
        <w:t>теплиц</w:t>
      </w:r>
      <w:r w:rsidRPr="00255F48">
        <w:rPr>
          <w:rFonts w:eastAsia="Calibri"/>
          <w:bCs/>
          <w:sz w:val="28"/>
          <w:szCs w:val="28"/>
        </w:rPr>
        <w:t xml:space="preserve"> под выращивание розы на срез.</w:t>
      </w:r>
      <w:r w:rsidRPr="00255F48">
        <w:rPr>
          <w:sz w:val="28"/>
          <w:szCs w:val="28"/>
          <w:shd w:val="clear" w:color="auto" w:fill="FFFFFF"/>
        </w:rPr>
        <w:t xml:space="preserve"> Размер инвестиций в производство составил 177 млн </w:t>
      </w:r>
      <w:proofErr w:type="spellStart"/>
      <w:r w:rsidRPr="00255F48">
        <w:rPr>
          <w:sz w:val="28"/>
          <w:szCs w:val="28"/>
          <w:shd w:val="clear" w:color="auto" w:fill="FFFFFF"/>
        </w:rPr>
        <w:t>руб</w:t>
      </w:r>
      <w:proofErr w:type="spellEnd"/>
      <w:r w:rsidRPr="00255F48">
        <w:rPr>
          <w:sz w:val="28"/>
          <w:szCs w:val="28"/>
          <w:shd w:val="clear" w:color="auto" w:fill="FFFFFF"/>
        </w:rPr>
        <w:t>;</w:t>
      </w:r>
    </w:p>
    <w:p w:rsidR="00255F48" w:rsidRPr="00255F48" w:rsidRDefault="00255F48" w:rsidP="00255F48">
      <w:pPr>
        <w:tabs>
          <w:tab w:val="left" w:pos="567"/>
          <w:tab w:val="left" w:pos="10065"/>
          <w:tab w:val="left" w:pos="10206"/>
        </w:tabs>
        <w:ind w:firstLine="709"/>
        <w:jc w:val="both"/>
        <w:rPr>
          <w:sz w:val="28"/>
          <w:szCs w:val="28"/>
        </w:rPr>
      </w:pPr>
      <w:r w:rsidRPr="00255F48">
        <w:rPr>
          <w:sz w:val="28"/>
          <w:szCs w:val="28"/>
        </w:rPr>
        <w:t>- в ООО «Толмачевское» (Толмачевский сельсовет) реконструирован животноводческий комплекс. Приобретено продуктивное стадо крупного рогатого скота. Общий объём инвестиций составит 396,5 млн руб.</w:t>
      </w:r>
    </w:p>
    <w:p w:rsidR="00255F48" w:rsidRPr="00255F48" w:rsidRDefault="00255F48" w:rsidP="00255F48">
      <w:pPr>
        <w:tabs>
          <w:tab w:val="left" w:pos="567"/>
          <w:tab w:val="left" w:pos="10065"/>
          <w:tab w:val="left" w:pos="10206"/>
        </w:tabs>
        <w:ind w:firstLine="709"/>
        <w:jc w:val="both"/>
        <w:rPr>
          <w:sz w:val="28"/>
          <w:szCs w:val="28"/>
        </w:rPr>
      </w:pPr>
      <w:r w:rsidRPr="00255F48">
        <w:rPr>
          <w:sz w:val="28"/>
          <w:szCs w:val="28"/>
        </w:rPr>
        <w:t xml:space="preserve">Ввод объектов на территории района позволил обеспечить новыми рабочими местами более 700 человек.  </w:t>
      </w:r>
    </w:p>
    <w:p w:rsidR="00255F48" w:rsidRPr="00255F48" w:rsidRDefault="00255F48" w:rsidP="00255F48">
      <w:pPr>
        <w:tabs>
          <w:tab w:val="left" w:pos="567"/>
          <w:tab w:val="left" w:pos="10065"/>
          <w:tab w:val="left" w:pos="10206"/>
        </w:tabs>
        <w:ind w:firstLine="709"/>
        <w:jc w:val="both"/>
        <w:rPr>
          <w:sz w:val="28"/>
          <w:szCs w:val="28"/>
        </w:rPr>
      </w:pPr>
      <w:r w:rsidRPr="00255F48">
        <w:rPr>
          <w:sz w:val="28"/>
          <w:szCs w:val="28"/>
        </w:rPr>
        <w:t>В 2020 году завершено строительство тепличного комбината ООО ТК «Обской» (Толмачевский сельсовет) общей площадью 6 га (общий объем инвестиций в проект составил</w:t>
      </w:r>
      <w:r w:rsidRPr="00255F48">
        <w:rPr>
          <w:rFonts w:eastAsia="Calibri"/>
          <w:color w:val="000000"/>
          <w:sz w:val="28"/>
          <w:szCs w:val="28"/>
        </w:rPr>
        <w:t xml:space="preserve"> </w:t>
      </w:r>
      <w:r w:rsidRPr="00255F48">
        <w:rPr>
          <w:sz w:val="28"/>
          <w:szCs w:val="28"/>
        </w:rPr>
        <w:t>1 581 млн руб.) и первой очереди оптово-распределительного центра сельскохозяйственной продукции ООО «</w:t>
      </w:r>
      <w:proofErr w:type="spellStart"/>
      <w:r w:rsidRPr="00255F48">
        <w:rPr>
          <w:sz w:val="28"/>
          <w:szCs w:val="28"/>
        </w:rPr>
        <w:t>РусАгро</w:t>
      </w:r>
      <w:proofErr w:type="spellEnd"/>
      <w:r w:rsidRPr="00255F48">
        <w:rPr>
          <w:sz w:val="28"/>
          <w:szCs w:val="28"/>
        </w:rPr>
        <w:t xml:space="preserve"> </w:t>
      </w:r>
      <w:proofErr w:type="spellStart"/>
      <w:r w:rsidRPr="00255F48">
        <w:rPr>
          <w:sz w:val="28"/>
          <w:szCs w:val="28"/>
        </w:rPr>
        <w:t>Маркет</w:t>
      </w:r>
      <w:proofErr w:type="spellEnd"/>
      <w:r w:rsidRPr="00255F48">
        <w:rPr>
          <w:sz w:val="28"/>
          <w:szCs w:val="28"/>
        </w:rPr>
        <w:t xml:space="preserve">-Новосибирск» в </w:t>
      </w:r>
      <w:proofErr w:type="spellStart"/>
      <w:r w:rsidRPr="00255F48">
        <w:rPr>
          <w:sz w:val="28"/>
          <w:szCs w:val="28"/>
        </w:rPr>
        <w:t>Толмачевском</w:t>
      </w:r>
      <w:proofErr w:type="spellEnd"/>
      <w:r w:rsidRPr="00255F48">
        <w:rPr>
          <w:sz w:val="28"/>
          <w:szCs w:val="28"/>
        </w:rPr>
        <w:t xml:space="preserve"> сельсовете. </w:t>
      </w:r>
    </w:p>
    <w:p w:rsidR="00255F48" w:rsidRPr="00255F48" w:rsidRDefault="00255F48" w:rsidP="00255F48">
      <w:pPr>
        <w:tabs>
          <w:tab w:val="left" w:pos="567"/>
          <w:tab w:val="left" w:pos="10065"/>
          <w:tab w:val="left" w:pos="10206"/>
        </w:tabs>
        <w:ind w:firstLine="709"/>
        <w:jc w:val="both"/>
        <w:rPr>
          <w:sz w:val="28"/>
          <w:szCs w:val="28"/>
        </w:rPr>
      </w:pPr>
      <w:r w:rsidRPr="00255F48">
        <w:rPr>
          <w:sz w:val="28"/>
          <w:szCs w:val="28"/>
        </w:rPr>
        <w:t xml:space="preserve">На территории Толмачевского сельсовета ведется строительство фермерского рынка «Белая База». Завершено строительство павильона для торговли свежей зеленью и овощами. Общая сумма инвестиций составила 200 млн руб. В составе комплекса откроется цех забоя и заработает ветеринарно-санитарный контроль. Третья очередь комплекса – рыбный павильон. </w:t>
      </w:r>
    </w:p>
    <w:p w:rsidR="00255F48" w:rsidRPr="00255F48" w:rsidRDefault="00255F48" w:rsidP="00255F48">
      <w:pPr>
        <w:tabs>
          <w:tab w:val="left" w:pos="567"/>
          <w:tab w:val="left" w:pos="10065"/>
          <w:tab w:val="left" w:pos="10206"/>
        </w:tabs>
        <w:ind w:firstLine="709"/>
        <w:jc w:val="both"/>
        <w:rPr>
          <w:sz w:val="28"/>
          <w:szCs w:val="28"/>
        </w:rPr>
      </w:pPr>
      <w:r w:rsidRPr="00255F48">
        <w:rPr>
          <w:sz w:val="28"/>
          <w:szCs w:val="28"/>
        </w:rPr>
        <w:t xml:space="preserve">Продолжается реализация проектов промышленно-логистического парка на территории </w:t>
      </w:r>
      <w:proofErr w:type="spellStart"/>
      <w:r w:rsidRPr="00255F48">
        <w:rPr>
          <w:sz w:val="28"/>
          <w:szCs w:val="28"/>
        </w:rPr>
        <w:t>Толмачёвского</w:t>
      </w:r>
      <w:proofErr w:type="spellEnd"/>
      <w:r w:rsidRPr="00255F48">
        <w:rPr>
          <w:sz w:val="28"/>
          <w:szCs w:val="28"/>
        </w:rPr>
        <w:t xml:space="preserve"> сельсовета – ООО «ИЭК НСК», ООО «Автоцентр Новосибирск», ООО «Терминал 1», ООО «Сириус», ПАО «</w:t>
      </w:r>
      <w:proofErr w:type="spellStart"/>
      <w:r w:rsidRPr="00255F48">
        <w:rPr>
          <w:sz w:val="28"/>
          <w:szCs w:val="28"/>
        </w:rPr>
        <w:t>Вымпелком</w:t>
      </w:r>
      <w:proofErr w:type="spellEnd"/>
      <w:r w:rsidRPr="00255F48">
        <w:rPr>
          <w:sz w:val="28"/>
          <w:szCs w:val="28"/>
        </w:rPr>
        <w:t>», ООО «</w:t>
      </w:r>
      <w:proofErr w:type="spellStart"/>
      <w:r w:rsidRPr="00255F48">
        <w:rPr>
          <w:sz w:val="28"/>
          <w:szCs w:val="28"/>
        </w:rPr>
        <w:t>ПепсиКоХолдингс</w:t>
      </w:r>
      <w:proofErr w:type="spellEnd"/>
      <w:r w:rsidRPr="00255F48">
        <w:rPr>
          <w:sz w:val="28"/>
          <w:szCs w:val="28"/>
        </w:rPr>
        <w:t>», ООО «Алютех-Новосибирск», транспортно-логистического центра «Сибирский», ООО «</w:t>
      </w:r>
      <w:proofErr w:type="spellStart"/>
      <w:r w:rsidRPr="00255F48">
        <w:rPr>
          <w:sz w:val="28"/>
          <w:szCs w:val="28"/>
        </w:rPr>
        <w:t>РусАгро</w:t>
      </w:r>
      <w:proofErr w:type="spellEnd"/>
      <w:r w:rsidRPr="00255F48">
        <w:rPr>
          <w:sz w:val="28"/>
          <w:szCs w:val="28"/>
        </w:rPr>
        <w:t xml:space="preserve"> </w:t>
      </w:r>
      <w:proofErr w:type="spellStart"/>
      <w:r w:rsidRPr="00255F48">
        <w:rPr>
          <w:sz w:val="28"/>
          <w:szCs w:val="28"/>
        </w:rPr>
        <w:t>Маркет</w:t>
      </w:r>
      <w:proofErr w:type="spellEnd"/>
      <w:r w:rsidRPr="00255F48">
        <w:rPr>
          <w:sz w:val="28"/>
          <w:szCs w:val="28"/>
        </w:rPr>
        <w:t>-Новосибирск».</w:t>
      </w:r>
    </w:p>
    <w:p w:rsidR="00255F48" w:rsidRPr="00255F48" w:rsidRDefault="00255F48" w:rsidP="00255F48">
      <w:pPr>
        <w:tabs>
          <w:tab w:val="left" w:pos="0"/>
        </w:tabs>
        <w:jc w:val="both"/>
        <w:rPr>
          <w:sz w:val="28"/>
          <w:szCs w:val="28"/>
        </w:rPr>
      </w:pPr>
      <w:r w:rsidRPr="00255F48">
        <w:rPr>
          <w:rFonts w:eastAsia="Calibri"/>
          <w:sz w:val="28"/>
          <w:szCs w:val="28"/>
        </w:rPr>
        <w:tab/>
        <w:t>Ведётся строительство Промышленно-логистического парка «Восточный» в Станционном сельсовете;</w:t>
      </w:r>
      <w:r w:rsidRPr="00255F48">
        <w:rPr>
          <w:sz w:val="28"/>
          <w:szCs w:val="28"/>
        </w:rPr>
        <w:t xml:space="preserve"> межрегионального агропромышленного распределительного центра ООО «Евразия Сибирь» в Верх-Тулинском сельсовете;</w:t>
      </w:r>
      <w:r w:rsidRPr="00255F48">
        <w:rPr>
          <w:rFonts w:eastAsia="Calibri"/>
          <w:sz w:val="28"/>
          <w:szCs w:val="28"/>
        </w:rPr>
        <w:t xml:space="preserve"> второй очереди </w:t>
      </w:r>
      <w:r w:rsidRPr="00255F48">
        <w:rPr>
          <w:sz w:val="28"/>
          <w:szCs w:val="28"/>
        </w:rPr>
        <w:t xml:space="preserve">завода по производству бумаги АО «Новосибирский КБК» в </w:t>
      </w:r>
      <w:proofErr w:type="spellStart"/>
      <w:r w:rsidRPr="00255F48">
        <w:rPr>
          <w:sz w:val="28"/>
          <w:szCs w:val="28"/>
        </w:rPr>
        <w:t>п.Красный</w:t>
      </w:r>
      <w:proofErr w:type="spellEnd"/>
      <w:r w:rsidRPr="00255F48">
        <w:rPr>
          <w:sz w:val="28"/>
          <w:szCs w:val="28"/>
        </w:rPr>
        <w:t xml:space="preserve"> Яр </w:t>
      </w:r>
      <w:proofErr w:type="spellStart"/>
      <w:r w:rsidRPr="00255F48">
        <w:rPr>
          <w:sz w:val="28"/>
          <w:szCs w:val="28"/>
        </w:rPr>
        <w:t>Кубовинского</w:t>
      </w:r>
      <w:proofErr w:type="spellEnd"/>
      <w:r w:rsidRPr="00255F48">
        <w:rPr>
          <w:sz w:val="28"/>
          <w:szCs w:val="28"/>
        </w:rPr>
        <w:t xml:space="preserve"> сельсовета. </w:t>
      </w:r>
    </w:p>
    <w:p w:rsidR="00255F48" w:rsidRPr="00255F48" w:rsidRDefault="00255F48" w:rsidP="00255F48">
      <w:pPr>
        <w:widowControl w:val="0"/>
        <w:tabs>
          <w:tab w:val="left" w:pos="0"/>
        </w:tabs>
        <w:adjustRightInd w:val="0"/>
        <w:jc w:val="both"/>
        <w:rPr>
          <w:rFonts w:eastAsiaTheme="minorHAnsi"/>
          <w:sz w:val="28"/>
          <w:szCs w:val="28"/>
          <w:lang w:eastAsia="en-US"/>
        </w:rPr>
      </w:pPr>
      <w:r w:rsidRPr="00255F48">
        <w:rPr>
          <w:sz w:val="28"/>
          <w:szCs w:val="28"/>
        </w:rPr>
        <w:tab/>
        <w:t>Н</w:t>
      </w:r>
      <w:r w:rsidRPr="00255F48">
        <w:rPr>
          <w:rFonts w:eastAsiaTheme="minorHAnsi"/>
          <w:sz w:val="28"/>
          <w:szCs w:val="28"/>
          <w:lang w:eastAsia="en-US"/>
        </w:rPr>
        <w:t xml:space="preserve">а территории Верх-Тулинского сельсовета компанией «Лидер Инвест Групп» реализуется масштабный инвестиционный проект по комплексному освоению территории земельного кластера площадью 3000 га общей стоимостью 14,6 млрд. руб. </w:t>
      </w:r>
    </w:p>
    <w:p w:rsidR="00255F48" w:rsidRPr="00255F48" w:rsidRDefault="00255F48" w:rsidP="00255F48">
      <w:pPr>
        <w:tabs>
          <w:tab w:val="left" w:pos="0"/>
        </w:tabs>
        <w:jc w:val="both"/>
        <w:rPr>
          <w:sz w:val="28"/>
          <w:szCs w:val="28"/>
        </w:rPr>
      </w:pPr>
      <w:r w:rsidRPr="00255F48">
        <w:rPr>
          <w:sz w:val="28"/>
          <w:szCs w:val="28"/>
        </w:rPr>
        <w:tab/>
        <w:t xml:space="preserve">Формирование благоприятного инвестиционного климата является одним из основных условий динамичного развития. Для наиболее эффективной работы в данном направлении при Главе Новосибирского района создан и в течение 2020 годы достаточно плодотворно работал Совет директоров. На заседаниях Совета происходит знакомство с производственными площадками района, обсуждаются особенно актуальные вопросы и проблемы. Предметом обсуждения последнего заседания Совета директоров стало создание фонда для реализации социальных проектов. В 2020 году было принято решение о создании Совета по взаимодействию с агропромышленным комплексом, работа Совета начата уже в текущем году. </w:t>
      </w:r>
    </w:p>
    <w:p w:rsidR="00255F48" w:rsidRPr="00255F48" w:rsidRDefault="00255F48" w:rsidP="00255F48">
      <w:pPr>
        <w:tabs>
          <w:tab w:val="left" w:pos="-142"/>
          <w:tab w:val="left" w:pos="567"/>
          <w:tab w:val="left" w:pos="9498"/>
          <w:tab w:val="left" w:pos="10206"/>
        </w:tabs>
        <w:ind w:left="-142" w:firstLine="709"/>
        <w:jc w:val="both"/>
        <w:rPr>
          <w:sz w:val="28"/>
          <w:szCs w:val="28"/>
        </w:rPr>
      </w:pPr>
      <w:r w:rsidRPr="00255F48">
        <w:rPr>
          <w:sz w:val="28"/>
          <w:szCs w:val="28"/>
        </w:rPr>
        <w:t xml:space="preserve">Один из пропагандируемых государством механизмов привлечения частных инвестиций в создание социальных объектов – реализация проектов муниципально-частного партнерства, концессионных соглашений. В текущем году в </w:t>
      </w:r>
      <w:r w:rsidRPr="00255F48">
        <w:rPr>
          <w:sz w:val="28"/>
          <w:szCs w:val="28"/>
        </w:rPr>
        <w:lastRenderedPageBreak/>
        <w:t xml:space="preserve">Новосибирском районе дан старт данному направлению, посредством заключения концессионного соглашения по завершению строительства здания бассейна в рабочем посёлке Краснообск.  </w:t>
      </w:r>
    </w:p>
    <w:p w:rsidR="00255F48" w:rsidRPr="00255F48" w:rsidRDefault="00255F48" w:rsidP="00255F48">
      <w:pPr>
        <w:ind w:firstLine="709"/>
        <w:jc w:val="both"/>
        <w:rPr>
          <w:color w:val="000000"/>
          <w:sz w:val="28"/>
          <w:szCs w:val="28"/>
        </w:rPr>
      </w:pPr>
      <w:r w:rsidRPr="00255F48">
        <w:rPr>
          <w:color w:val="000000"/>
          <w:sz w:val="28"/>
          <w:szCs w:val="28"/>
        </w:rPr>
        <w:t xml:space="preserve">В течение 2020 года Новосибирский район участвовал в 10 национальных проектах: «Демография», «Здравоохранение», «Образование», «Жильё и городская среда», «Экология», «Малое и среднее предпринимательство», «Цифровая экономика», «Наука», «Культура», «Производительность труда и поддержка занятости». Механизм реализации национальных проектов осуществляется через государственные и ведомственные целевые программы. Новосибирский район участвовал в 17 областных программах. В том числе </w:t>
      </w:r>
      <w:proofErr w:type="spellStart"/>
      <w:r w:rsidRPr="00255F48">
        <w:rPr>
          <w:color w:val="000000"/>
          <w:sz w:val="28"/>
          <w:szCs w:val="28"/>
        </w:rPr>
        <w:t>софинансирование</w:t>
      </w:r>
      <w:proofErr w:type="spellEnd"/>
      <w:r w:rsidRPr="00255F48">
        <w:rPr>
          <w:color w:val="000000"/>
          <w:sz w:val="28"/>
          <w:szCs w:val="28"/>
        </w:rPr>
        <w:t xml:space="preserve"> по областным программам проходило по некоторым муниципальным программам Новосибирского района Новосибирской области. Таким образом, муниципальные программы района используются для реализации целей и задач национальных проектов.</w:t>
      </w:r>
    </w:p>
    <w:p w:rsidR="00255F48" w:rsidRPr="00255F48" w:rsidRDefault="00255F48" w:rsidP="00255F48">
      <w:pPr>
        <w:shd w:val="clear" w:color="auto" w:fill="FFFFFF"/>
        <w:ind w:firstLine="709"/>
        <w:jc w:val="both"/>
        <w:rPr>
          <w:color w:val="000000"/>
          <w:sz w:val="28"/>
          <w:szCs w:val="28"/>
        </w:rPr>
      </w:pPr>
      <w:r w:rsidRPr="00255F48">
        <w:rPr>
          <w:color w:val="000000"/>
          <w:sz w:val="28"/>
          <w:szCs w:val="28"/>
        </w:rPr>
        <w:t xml:space="preserve">По 13 действующим муниципальным программам в 2020 году в Новосибирском районе было реализовано 153 мероприятия на общую сумму 143 млн руб., что на 42 % превышает объемы финансирования муниципальных программ в 2019 году. Более того, увеличился спектр выполняемых мероприятий, что потребовало разработки новых муниципальных программ. С 2020 года начали реализовываться мероприятия по профилактике терроризма, поддержке социально ориентированных некоммерческих организаций, экологии и охране окружающей среды, развитию сетей наружного освещения. В 2021 году по новым направлениям будет только наращиваться темп финансирования. </w:t>
      </w:r>
    </w:p>
    <w:p w:rsidR="00255F48" w:rsidRPr="00255F48" w:rsidRDefault="00255F48" w:rsidP="00255F48">
      <w:pPr>
        <w:shd w:val="clear" w:color="auto" w:fill="FFFFFF"/>
        <w:ind w:firstLine="708"/>
        <w:jc w:val="both"/>
        <w:rPr>
          <w:sz w:val="28"/>
          <w:szCs w:val="28"/>
        </w:rPr>
      </w:pPr>
      <w:r w:rsidRPr="00255F48">
        <w:rPr>
          <w:sz w:val="28"/>
          <w:szCs w:val="28"/>
        </w:rPr>
        <w:t>Исполнение по всем муниципальным программам Новосибирского района в 2020 году составило 99,5 %.</w:t>
      </w:r>
    </w:p>
    <w:p w:rsidR="00255F48" w:rsidRPr="00255F48" w:rsidRDefault="00255F48" w:rsidP="00255F48">
      <w:pPr>
        <w:shd w:val="clear" w:color="auto" w:fill="FFFFFF"/>
        <w:ind w:firstLine="708"/>
        <w:jc w:val="both"/>
        <w:rPr>
          <w:color w:val="000000"/>
          <w:sz w:val="28"/>
          <w:szCs w:val="28"/>
        </w:rPr>
      </w:pPr>
      <w:r w:rsidRPr="00255F48">
        <w:rPr>
          <w:sz w:val="28"/>
          <w:szCs w:val="28"/>
        </w:rPr>
        <w:t xml:space="preserve">Кроме того, в целях участия в государственной программе «Комплексное развитие сельских территорий» разработана муниципальная программа «Комплексное развитие сельских территорий в Новосибирском районе Новосибирской области на 2020-2022 годы». </w:t>
      </w:r>
    </w:p>
    <w:p w:rsidR="00255F48" w:rsidRPr="00255F48" w:rsidRDefault="00255F48" w:rsidP="00255F48">
      <w:pPr>
        <w:shd w:val="clear" w:color="auto" w:fill="FFFFFF"/>
        <w:ind w:firstLine="708"/>
        <w:jc w:val="both"/>
        <w:rPr>
          <w:color w:val="000000"/>
          <w:sz w:val="28"/>
          <w:szCs w:val="28"/>
        </w:rPr>
      </w:pPr>
      <w:r w:rsidRPr="00255F48">
        <w:rPr>
          <w:color w:val="000000"/>
          <w:sz w:val="28"/>
          <w:szCs w:val="28"/>
        </w:rPr>
        <w:t xml:space="preserve">Помимо муниципальных программ главами сельсоветов используются инструменты инициативного бюджетирования для решения вопросов развития территорий поселений. Так, в 2020 году было привлечено 5,2 млн руб. субсидий из областного бюджета для 4 проектов (благоустройство сквера в п. Тулинский в Верх-Тулинском сельсовете, спуск к р. Обь в Кудряшовском сельсовете, асфальтирование проезда в п. Элитный в Мичуринском сельсовете, обустройство мест захоронения в с. Ярково Ярковского сельсовета). Общая сумма проектов более 12 млн руб. На 2021 год поданы на областной конкурсный отбор заявки от 6 сельсоветов на сумму более 14 млн руб. </w:t>
      </w:r>
    </w:p>
    <w:p w:rsidR="00255F48" w:rsidRPr="00255F48" w:rsidRDefault="00255F48" w:rsidP="00255F48">
      <w:pPr>
        <w:ind w:firstLine="708"/>
        <w:jc w:val="both"/>
        <w:rPr>
          <w:sz w:val="28"/>
          <w:szCs w:val="28"/>
        </w:rPr>
      </w:pPr>
      <w:r w:rsidRPr="00255F48">
        <w:rPr>
          <w:sz w:val="28"/>
          <w:szCs w:val="28"/>
        </w:rPr>
        <w:t>Проведен анализ земельных участков государственной неразграниченной собственности и муниципальной собственности, расположенных в границах Новосибирского района Новосибирской области, с целью выявления наиболее инвестиционно-привлекательных территорий для создания рекреационных зон, баз отдыха, спортивных и туристических баз, спортивных школ, ведения сельского хозяйства, строительства промышленно-логистических парков.</w:t>
      </w:r>
    </w:p>
    <w:p w:rsidR="00255F48" w:rsidRPr="00255F48" w:rsidRDefault="00255F48" w:rsidP="00255F48">
      <w:pPr>
        <w:ind w:firstLine="709"/>
        <w:jc w:val="both"/>
        <w:rPr>
          <w:sz w:val="28"/>
          <w:szCs w:val="28"/>
        </w:rPr>
      </w:pPr>
      <w:r w:rsidRPr="00255F48">
        <w:rPr>
          <w:sz w:val="28"/>
          <w:szCs w:val="28"/>
        </w:rPr>
        <w:lastRenderedPageBreak/>
        <w:t xml:space="preserve">В результате проведенной работы сформирован Сводный реестр свободных земельных участков в виде перечня инвестиционных площадок, который размещен на сайте МКУ «ЦМУ». </w:t>
      </w:r>
    </w:p>
    <w:p w:rsidR="00255F48" w:rsidRPr="00255F48" w:rsidRDefault="00255F48" w:rsidP="00255F48">
      <w:pPr>
        <w:tabs>
          <w:tab w:val="left" w:pos="0"/>
          <w:tab w:val="left" w:pos="567"/>
          <w:tab w:val="left" w:pos="9498"/>
          <w:tab w:val="left" w:pos="10206"/>
        </w:tabs>
        <w:ind w:firstLine="709"/>
        <w:jc w:val="both"/>
        <w:rPr>
          <w:color w:val="000000"/>
          <w:sz w:val="28"/>
          <w:szCs w:val="28"/>
        </w:rPr>
      </w:pPr>
      <w:r w:rsidRPr="00255F48">
        <w:rPr>
          <w:sz w:val="28"/>
          <w:szCs w:val="28"/>
        </w:rPr>
        <w:t xml:space="preserve">После проведения в 2020 году работ по инвентаризации земель Новосибирского района был разработан «Инвестиционный путеводитель», где </w:t>
      </w:r>
      <w:r w:rsidRPr="00255F48">
        <w:rPr>
          <w:color w:val="000000"/>
          <w:sz w:val="28"/>
          <w:szCs w:val="28"/>
        </w:rPr>
        <w:t>отображен земельный потенциал всех территорий Новосибирского района по трем основным направлениям – промышленность, сельское хозяйство, рекреация и туризм.</w:t>
      </w:r>
    </w:p>
    <w:p w:rsidR="00255F48" w:rsidRPr="00255F48" w:rsidRDefault="00255F48" w:rsidP="00255F48">
      <w:pPr>
        <w:tabs>
          <w:tab w:val="left" w:pos="-142"/>
          <w:tab w:val="left" w:pos="567"/>
          <w:tab w:val="left" w:pos="9498"/>
          <w:tab w:val="left" w:pos="10206"/>
        </w:tabs>
        <w:ind w:left="-142" w:firstLine="709"/>
        <w:jc w:val="both"/>
        <w:rPr>
          <w:sz w:val="28"/>
          <w:szCs w:val="28"/>
        </w:rPr>
      </w:pPr>
      <w:r w:rsidRPr="00255F48">
        <w:rPr>
          <w:sz w:val="28"/>
          <w:szCs w:val="28"/>
        </w:rPr>
        <w:t>В рамках соглашения о сотрудничестве, подписанного в декабре 2020 года Агентством инвестиционного развития Новосибирской области, УК «</w:t>
      </w:r>
      <w:proofErr w:type="spellStart"/>
      <w:r w:rsidRPr="00255F48">
        <w:rPr>
          <w:sz w:val="28"/>
          <w:szCs w:val="28"/>
        </w:rPr>
        <w:t>Биотехнопарк</w:t>
      </w:r>
      <w:proofErr w:type="spellEnd"/>
      <w:r w:rsidRPr="00255F48">
        <w:rPr>
          <w:sz w:val="28"/>
          <w:szCs w:val="28"/>
        </w:rPr>
        <w:t>» и администрациями Новосибирского района и Барышевского сельсовета, запланированы к освоению две площадки под промышленное производство:</w:t>
      </w:r>
    </w:p>
    <w:p w:rsidR="00255F48" w:rsidRPr="00255F48" w:rsidRDefault="00255F48" w:rsidP="00255F48">
      <w:pPr>
        <w:tabs>
          <w:tab w:val="left" w:pos="-142"/>
          <w:tab w:val="left" w:pos="567"/>
          <w:tab w:val="left" w:pos="9498"/>
          <w:tab w:val="left" w:pos="10206"/>
        </w:tabs>
        <w:ind w:left="-142" w:firstLine="709"/>
        <w:jc w:val="both"/>
        <w:rPr>
          <w:sz w:val="28"/>
          <w:szCs w:val="28"/>
        </w:rPr>
      </w:pPr>
      <w:r w:rsidRPr="00255F48">
        <w:rPr>
          <w:sz w:val="28"/>
          <w:szCs w:val="28"/>
        </w:rPr>
        <w:t xml:space="preserve">- участок площадью 20 га Мичуринского сельсовета, из них на 5 га под производство </w:t>
      </w:r>
      <w:proofErr w:type="spellStart"/>
      <w:r w:rsidRPr="00255F48">
        <w:rPr>
          <w:sz w:val="28"/>
          <w:szCs w:val="28"/>
        </w:rPr>
        <w:t>артемизининовой</w:t>
      </w:r>
      <w:proofErr w:type="spellEnd"/>
      <w:r w:rsidRPr="00255F48">
        <w:rPr>
          <w:sz w:val="28"/>
          <w:szCs w:val="28"/>
        </w:rPr>
        <w:t xml:space="preserve"> кислоты,</w:t>
      </w:r>
      <w:r w:rsidRPr="00255F48">
        <w:rPr>
          <w:color w:val="FF0000"/>
          <w:sz w:val="28"/>
          <w:szCs w:val="28"/>
        </w:rPr>
        <w:t xml:space="preserve"> </w:t>
      </w:r>
      <w:r w:rsidRPr="00255F48">
        <w:rPr>
          <w:sz w:val="28"/>
          <w:szCs w:val="28"/>
        </w:rPr>
        <w:t>остальная территория уже сегодня интересна резидентам УК «</w:t>
      </w:r>
      <w:proofErr w:type="spellStart"/>
      <w:r w:rsidRPr="00255F48">
        <w:rPr>
          <w:sz w:val="28"/>
          <w:szCs w:val="28"/>
        </w:rPr>
        <w:t>Биотехнопарка</w:t>
      </w:r>
      <w:proofErr w:type="spellEnd"/>
      <w:r w:rsidRPr="00255F48">
        <w:rPr>
          <w:sz w:val="28"/>
          <w:szCs w:val="28"/>
        </w:rPr>
        <w:t>»;</w:t>
      </w:r>
    </w:p>
    <w:p w:rsidR="00255F48" w:rsidRPr="00255F48" w:rsidRDefault="00255F48" w:rsidP="00255F48">
      <w:pPr>
        <w:tabs>
          <w:tab w:val="left" w:pos="-142"/>
          <w:tab w:val="left" w:pos="567"/>
          <w:tab w:val="left" w:pos="9498"/>
          <w:tab w:val="left" w:pos="10206"/>
        </w:tabs>
        <w:ind w:left="-142" w:firstLine="709"/>
        <w:jc w:val="both"/>
        <w:rPr>
          <w:sz w:val="28"/>
          <w:szCs w:val="28"/>
        </w:rPr>
      </w:pPr>
      <w:r w:rsidRPr="00255F48">
        <w:rPr>
          <w:sz w:val="28"/>
          <w:szCs w:val="28"/>
        </w:rPr>
        <w:t>- на участке площадью 50 га Барышевского сельсовета планируется размещение третьей очереди «</w:t>
      </w:r>
      <w:proofErr w:type="spellStart"/>
      <w:r w:rsidRPr="00255F48">
        <w:rPr>
          <w:sz w:val="28"/>
          <w:szCs w:val="28"/>
        </w:rPr>
        <w:t>Биотехнопарка</w:t>
      </w:r>
      <w:proofErr w:type="spellEnd"/>
      <w:r w:rsidRPr="00255F48">
        <w:rPr>
          <w:sz w:val="28"/>
          <w:szCs w:val="28"/>
        </w:rPr>
        <w:t>».</w:t>
      </w:r>
    </w:p>
    <w:p w:rsidR="00255F48" w:rsidRPr="00255F48" w:rsidRDefault="00255F48" w:rsidP="00255F48">
      <w:pPr>
        <w:ind w:firstLine="709"/>
        <w:jc w:val="both"/>
        <w:rPr>
          <w:sz w:val="28"/>
          <w:szCs w:val="28"/>
        </w:rPr>
      </w:pPr>
      <w:r w:rsidRPr="00255F48">
        <w:rPr>
          <w:sz w:val="28"/>
          <w:szCs w:val="28"/>
        </w:rPr>
        <w:t xml:space="preserve">Цивилизованные инвестиционные площадки дают большие возможности для роста экономики. </w:t>
      </w:r>
    </w:p>
    <w:p w:rsidR="00255F48" w:rsidRPr="00255F48" w:rsidRDefault="00255F48" w:rsidP="00255F48">
      <w:pPr>
        <w:ind w:firstLine="709"/>
        <w:jc w:val="both"/>
        <w:rPr>
          <w:sz w:val="28"/>
          <w:szCs w:val="28"/>
        </w:rPr>
      </w:pPr>
      <w:r w:rsidRPr="00255F48">
        <w:rPr>
          <w:sz w:val="28"/>
          <w:szCs w:val="28"/>
        </w:rPr>
        <w:t>Губернатор Новосибирской области на собрании трудовых коллективов отметил важность Новосибирского района: «Раскрыть потенциал территории позволяет наличие Новосибирской агломерации, крупнейшего в азиатской части страны торгового, транспортного, индустриального, инновационного узла. Значимость Новосибирского района в этой агломерации чрезвычайно велика.</w:t>
      </w:r>
    </w:p>
    <w:p w:rsidR="00255F48" w:rsidRPr="00255F48" w:rsidRDefault="00255F48" w:rsidP="00255F48">
      <w:pPr>
        <w:shd w:val="clear" w:color="auto" w:fill="FFFFFF"/>
        <w:spacing w:line="345" w:lineRule="atLeast"/>
        <w:ind w:firstLine="708"/>
        <w:jc w:val="both"/>
        <w:rPr>
          <w:sz w:val="28"/>
          <w:szCs w:val="28"/>
        </w:rPr>
      </w:pPr>
      <w:r w:rsidRPr="00255F48">
        <w:rPr>
          <w:sz w:val="28"/>
          <w:szCs w:val="28"/>
        </w:rPr>
        <w:t>Сегодня в границах района реализуются такие важные проекты, как СКИФ, Федеральный медицинский детский реабилитационный центр, реконструкция аэропорта «Толмачево», Восточный обход. Необходимо создавать высококвалифицированные рабочие места. На ближайшем заседании Совета по инвестициям будут рассматриваться крупные инвестиционные проекты, которые также будут реализовываться на территории Новосибирского района. Весь этот сложный и многообразный процесс развития не только района, но и всего региона важно сопровождать, соблюдая баланс интересов жителей».</w:t>
      </w:r>
    </w:p>
    <w:p w:rsidR="00255F48" w:rsidRPr="00255F48" w:rsidRDefault="00255F48" w:rsidP="00255F48">
      <w:pPr>
        <w:autoSpaceDE w:val="0"/>
        <w:autoSpaceDN w:val="0"/>
        <w:adjustRightInd w:val="0"/>
        <w:ind w:firstLine="708"/>
        <w:jc w:val="both"/>
        <w:rPr>
          <w:rFonts w:eastAsiaTheme="minorHAnsi"/>
          <w:sz w:val="28"/>
          <w:szCs w:val="28"/>
          <w:lang w:eastAsia="en-US"/>
        </w:rPr>
      </w:pPr>
      <w:r w:rsidRPr="00255F48">
        <w:rPr>
          <w:rFonts w:eastAsiaTheme="minorHAnsi"/>
          <w:sz w:val="28"/>
          <w:szCs w:val="28"/>
          <w:lang w:eastAsia="en-US"/>
        </w:rPr>
        <w:t>Необходимо выстроить более тесное взаимодействие с предприятиями и организациями Новосибирского района, индивидуальными предпринимателями, инвесторами. Наша основная задача – при помощи и поддержке профессиональных сообществ определить не только слабые места, проблемы и варианты их решения, но и наметить точки роста, которые станут началом большого реформирования таких, безусловно, важных и значимых сфер развития района, как образование, культура и спорт.</w:t>
      </w:r>
    </w:p>
    <w:p w:rsidR="00255F48" w:rsidRPr="00255F48" w:rsidRDefault="00255F48" w:rsidP="00255F48">
      <w:pPr>
        <w:autoSpaceDE w:val="0"/>
        <w:autoSpaceDN w:val="0"/>
        <w:adjustRightInd w:val="0"/>
        <w:ind w:firstLine="708"/>
        <w:jc w:val="both"/>
        <w:rPr>
          <w:rFonts w:eastAsiaTheme="minorHAnsi"/>
          <w:sz w:val="28"/>
          <w:szCs w:val="28"/>
          <w:lang w:eastAsia="en-US"/>
        </w:rPr>
      </w:pPr>
      <w:r w:rsidRPr="00255F48">
        <w:rPr>
          <w:rFonts w:eastAsiaTheme="minorHAnsi"/>
          <w:sz w:val="28"/>
          <w:szCs w:val="28"/>
          <w:lang w:eastAsia="en-US"/>
        </w:rPr>
        <w:t xml:space="preserve">В настоящее время создана необходимая нормативная правовая база в сфере инвестиционной деятельности, которая предусматривает различные виды поддержки, гарантирует прозрачность всех процедур и обеспечение равных прав инвесторам, отвечает всем современным требованиям и постоянно </w:t>
      </w:r>
      <w:r w:rsidRPr="00255F48">
        <w:rPr>
          <w:rFonts w:eastAsiaTheme="minorHAnsi"/>
          <w:sz w:val="28"/>
          <w:szCs w:val="28"/>
          <w:lang w:eastAsia="en-US"/>
        </w:rPr>
        <w:lastRenderedPageBreak/>
        <w:t>совершенствуется. Действует институт проведения оценки регулирующего воздействия принятых и принимаемых нормативных правовых актов, затрагивающих вопросы осуществления предпринимательской и инвестиционной деятельности. Организована работа Общественного совета</w:t>
      </w:r>
      <w:r w:rsidRPr="00255F48">
        <w:rPr>
          <w:rFonts w:asciiTheme="minorHAnsi" w:eastAsiaTheme="minorHAnsi" w:hAnsiTheme="minorHAnsi" w:cstheme="minorBidi"/>
          <w:sz w:val="22"/>
          <w:szCs w:val="22"/>
          <w:lang w:eastAsia="en-US"/>
        </w:rPr>
        <w:t xml:space="preserve"> </w:t>
      </w:r>
      <w:r w:rsidRPr="00255F48">
        <w:rPr>
          <w:rFonts w:eastAsiaTheme="minorHAnsi"/>
          <w:sz w:val="28"/>
          <w:szCs w:val="28"/>
          <w:lang w:eastAsia="en-US"/>
        </w:rPr>
        <w:t xml:space="preserve">по улучшению инвестиционного климата и развитию предпринимательства в Новосибирском районе. Сформирована система информационной и консультационной поддержки. </w:t>
      </w:r>
    </w:p>
    <w:p w:rsidR="00255F48" w:rsidRPr="00255F48" w:rsidRDefault="00255F48" w:rsidP="00255F48">
      <w:pPr>
        <w:autoSpaceDE w:val="0"/>
        <w:autoSpaceDN w:val="0"/>
        <w:adjustRightInd w:val="0"/>
        <w:ind w:firstLine="708"/>
        <w:jc w:val="both"/>
        <w:rPr>
          <w:rFonts w:eastAsiaTheme="minorHAnsi"/>
          <w:sz w:val="28"/>
          <w:szCs w:val="28"/>
          <w:lang w:eastAsia="en-US"/>
        </w:rPr>
      </w:pPr>
      <w:r w:rsidRPr="00255F48">
        <w:rPr>
          <w:rFonts w:eastAsiaTheme="minorHAnsi"/>
          <w:sz w:val="28"/>
          <w:szCs w:val="28"/>
          <w:lang w:eastAsia="en-US"/>
        </w:rPr>
        <w:t>На сайте администрации района созданы и постоянно обновляются разделы «Инвестиционная политика», «Муниципальный инвестиционный стандарт» для формирования у потенциального инвестора объективного представления об инвестиционной привлекательности нашего района.</w:t>
      </w:r>
    </w:p>
    <w:p w:rsidR="00255F48" w:rsidRDefault="00255F48" w:rsidP="00D91FB4">
      <w:pPr>
        <w:autoSpaceDE w:val="0"/>
        <w:autoSpaceDN w:val="0"/>
        <w:adjustRightInd w:val="0"/>
        <w:ind w:firstLine="708"/>
        <w:jc w:val="both"/>
        <w:rPr>
          <w:sz w:val="28"/>
          <w:szCs w:val="28"/>
        </w:rPr>
      </w:pPr>
      <w:r w:rsidRPr="00255F48">
        <w:rPr>
          <w:rFonts w:eastAsiaTheme="minorHAnsi"/>
          <w:sz w:val="28"/>
          <w:szCs w:val="28"/>
          <w:lang w:eastAsia="en-US"/>
        </w:rPr>
        <w:t xml:space="preserve">Опираться на профессионалов, включать их в решение вопросов, объединять усилия – вот те принципы, на которых будет базироваться развитие </w:t>
      </w:r>
      <w:r w:rsidRPr="00255F48">
        <w:rPr>
          <w:sz w:val="28"/>
          <w:szCs w:val="28"/>
        </w:rPr>
        <w:t>Новосибирского района в 2021 году.</w:t>
      </w:r>
    </w:p>
    <w:p w:rsidR="00862CB9" w:rsidRPr="00255F48" w:rsidRDefault="00862CB9" w:rsidP="00D91FB4">
      <w:pPr>
        <w:autoSpaceDE w:val="0"/>
        <w:autoSpaceDN w:val="0"/>
        <w:adjustRightInd w:val="0"/>
        <w:ind w:firstLine="708"/>
        <w:jc w:val="both"/>
        <w:rPr>
          <w:sz w:val="28"/>
          <w:szCs w:val="28"/>
        </w:rPr>
      </w:pPr>
    </w:p>
    <w:p w:rsidR="00255F48" w:rsidRPr="00255F48" w:rsidRDefault="00255F48" w:rsidP="00255F48">
      <w:pPr>
        <w:autoSpaceDE w:val="0"/>
        <w:autoSpaceDN w:val="0"/>
        <w:adjustRightInd w:val="0"/>
        <w:ind w:firstLine="708"/>
        <w:jc w:val="both"/>
        <w:rPr>
          <w:sz w:val="28"/>
          <w:szCs w:val="28"/>
        </w:rPr>
      </w:pPr>
      <w:r w:rsidRPr="00255F48">
        <w:rPr>
          <w:sz w:val="28"/>
          <w:szCs w:val="28"/>
        </w:rPr>
        <w:t>Благодарю за внимание!</w:t>
      </w:r>
    </w:p>
    <w:p w:rsidR="00255F48" w:rsidRDefault="00255F48" w:rsidP="000E07A1">
      <w:pPr>
        <w:ind w:firstLine="708"/>
        <w:jc w:val="both"/>
        <w:rPr>
          <w:rFonts w:eastAsiaTheme="minorHAnsi"/>
          <w:sz w:val="28"/>
          <w:szCs w:val="28"/>
          <w:lang w:eastAsia="en-US"/>
        </w:rPr>
      </w:pPr>
    </w:p>
    <w:p w:rsidR="00255F48" w:rsidRPr="000E07A1" w:rsidRDefault="00255F48" w:rsidP="000E07A1">
      <w:pPr>
        <w:ind w:firstLine="708"/>
        <w:jc w:val="both"/>
        <w:rPr>
          <w:rFonts w:eastAsiaTheme="minorHAnsi"/>
          <w:sz w:val="28"/>
          <w:szCs w:val="28"/>
          <w:lang w:eastAsia="en-US"/>
        </w:rPr>
      </w:pPr>
      <w:bookmarkStart w:id="0" w:name="_GoBack"/>
      <w:bookmarkEnd w:id="0"/>
    </w:p>
    <w:sectPr w:rsidR="00255F48" w:rsidRPr="000E07A1" w:rsidSect="00862CB9">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43E9A"/>
    <w:multiLevelType w:val="hybridMultilevel"/>
    <w:tmpl w:val="7C320016"/>
    <w:lvl w:ilvl="0" w:tplc="BCE8B99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BAB2B13"/>
    <w:multiLevelType w:val="hybridMultilevel"/>
    <w:tmpl w:val="9C42F59E"/>
    <w:lvl w:ilvl="0" w:tplc="3856A5F8">
      <w:start w:val="1"/>
      <w:numFmt w:val="decimal"/>
      <w:lvlText w:val="%1."/>
      <w:lvlJc w:val="left"/>
      <w:pPr>
        <w:ind w:left="1158" w:hanging="4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2F42744"/>
    <w:multiLevelType w:val="hybridMultilevel"/>
    <w:tmpl w:val="06CE720A"/>
    <w:lvl w:ilvl="0" w:tplc="71DC92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4AB721A"/>
    <w:multiLevelType w:val="hybridMultilevel"/>
    <w:tmpl w:val="60867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0A71D8"/>
    <w:multiLevelType w:val="hybridMultilevel"/>
    <w:tmpl w:val="E4AC2BD8"/>
    <w:lvl w:ilvl="0" w:tplc="DB549E06">
      <w:start w:val="1"/>
      <w:numFmt w:val="decimal"/>
      <w:lvlText w:val="%1."/>
      <w:lvlJc w:val="left"/>
      <w:pPr>
        <w:ind w:left="1068" w:hanging="360"/>
      </w:pPr>
      <w:rPr>
        <w:rFonts w:ascii="Calibri" w:hAnsi="Calibri" w:cs="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10A0620"/>
    <w:multiLevelType w:val="hybridMultilevel"/>
    <w:tmpl w:val="B76ACCDC"/>
    <w:lvl w:ilvl="0" w:tplc="ADD6966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82E4B84"/>
    <w:multiLevelType w:val="hybridMultilevel"/>
    <w:tmpl w:val="502639D4"/>
    <w:lvl w:ilvl="0" w:tplc="BF525D5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4"/>
  </w:num>
  <w:num w:numId="3">
    <w:abstractNumId w:val="0"/>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F11"/>
    <w:rsid w:val="00006BBC"/>
    <w:rsid w:val="00026C21"/>
    <w:rsid w:val="000414A1"/>
    <w:rsid w:val="00045895"/>
    <w:rsid w:val="000471BC"/>
    <w:rsid w:val="000770E9"/>
    <w:rsid w:val="000B2E3E"/>
    <w:rsid w:val="000E07A1"/>
    <w:rsid w:val="000E192D"/>
    <w:rsid w:val="000F5AEE"/>
    <w:rsid w:val="00107F84"/>
    <w:rsid w:val="00116F15"/>
    <w:rsid w:val="00134C03"/>
    <w:rsid w:val="00136A20"/>
    <w:rsid w:val="001556A8"/>
    <w:rsid w:val="00160C3E"/>
    <w:rsid w:val="00161D47"/>
    <w:rsid w:val="001A3CBF"/>
    <w:rsid w:val="001D147D"/>
    <w:rsid w:val="001D1FE4"/>
    <w:rsid w:val="002156D5"/>
    <w:rsid w:val="0021610F"/>
    <w:rsid w:val="00217652"/>
    <w:rsid w:val="0022681F"/>
    <w:rsid w:val="00255F48"/>
    <w:rsid w:val="002701BA"/>
    <w:rsid w:val="00290732"/>
    <w:rsid w:val="002A50AB"/>
    <w:rsid w:val="002A5F64"/>
    <w:rsid w:val="002B5788"/>
    <w:rsid w:val="002C2761"/>
    <w:rsid w:val="002D422F"/>
    <w:rsid w:val="002E1BA5"/>
    <w:rsid w:val="002F1234"/>
    <w:rsid w:val="00315821"/>
    <w:rsid w:val="00326C19"/>
    <w:rsid w:val="00334503"/>
    <w:rsid w:val="00334D4D"/>
    <w:rsid w:val="0035168F"/>
    <w:rsid w:val="003753ED"/>
    <w:rsid w:val="003757E6"/>
    <w:rsid w:val="003805C0"/>
    <w:rsid w:val="00390A7A"/>
    <w:rsid w:val="00393758"/>
    <w:rsid w:val="003977B1"/>
    <w:rsid w:val="003A22D1"/>
    <w:rsid w:val="003B01FA"/>
    <w:rsid w:val="003C4643"/>
    <w:rsid w:val="003E6A50"/>
    <w:rsid w:val="003F5E9D"/>
    <w:rsid w:val="00404861"/>
    <w:rsid w:val="004056CB"/>
    <w:rsid w:val="00411129"/>
    <w:rsid w:val="0043075C"/>
    <w:rsid w:val="00436BA2"/>
    <w:rsid w:val="00467777"/>
    <w:rsid w:val="004B4AD1"/>
    <w:rsid w:val="004C41BC"/>
    <w:rsid w:val="004D67AE"/>
    <w:rsid w:val="004E244E"/>
    <w:rsid w:val="004E432C"/>
    <w:rsid w:val="004E5661"/>
    <w:rsid w:val="004E7B1E"/>
    <w:rsid w:val="004F6421"/>
    <w:rsid w:val="00514260"/>
    <w:rsid w:val="00514C81"/>
    <w:rsid w:val="0054274B"/>
    <w:rsid w:val="00553C74"/>
    <w:rsid w:val="00556986"/>
    <w:rsid w:val="0055699E"/>
    <w:rsid w:val="0056683F"/>
    <w:rsid w:val="0057615D"/>
    <w:rsid w:val="00595066"/>
    <w:rsid w:val="00596AEE"/>
    <w:rsid w:val="005A183F"/>
    <w:rsid w:val="005B1AF8"/>
    <w:rsid w:val="005D61F4"/>
    <w:rsid w:val="005D63D0"/>
    <w:rsid w:val="005E0DFA"/>
    <w:rsid w:val="005F36AF"/>
    <w:rsid w:val="00614903"/>
    <w:rsid w:val="006223B3"/>
    <w:rsid w:val="00623EF3"/>
    <w:rsid w:val="00636F6A"/>
    <w:rsid w:val="00643807"/>
    <w:rsid w:val="00647C12"/>
    <w:rsid w:val="006577A6"/>
    <w:rsid w:val="006B3128"/>
    <w:rsid w:val="006C28B9"/>
    <w:rsid w:val="00717CB3"/>
    <w:rsid w:val="00733A2E"/>
    <w:rsid w:val="007A6589"/>
    <w:rsid w:val="007C7E01"/>
    <w:rsid w:val="007D5DE9"/>
    <w:rsid w:val="007F5360"/>
    <w:rsid w:val="008051F6"/>
    <w:rsid w:val="00805F49"/>
    <w:rsid w:val="00813EE9"/>
    <w:rsid w:val="00830FDF"/>
    <w:rsid w:val="008438D0"/>
    <w:rsid w:val="00850BFA"/>
    <w:rsid w:val="00862CB9"/>
    <w:rsid w:val="00871C69"/>
    <w:rsid w:val="008B4326"/>
    <w:rsid w:val="008D3391"/>
    <w:rsid w:val="008D51F9"/>
    <w:rsid w:val="009020A0"/>
    <w:rsid w:val="00936727"/>
    <w:rsid w:val="009428C8"/>
    <w:rsid w:val="00950962"/>
    <w:rsid w:val="00952526"/>
    <w:rsid w:val="0098379B"/>
    <w:rsid w:val="00990E81"/>
    <w:rsid w:val="009B45BB"/>
    <w:rsid w:val="009C68FA"/>
    <w:rsid w:val="009D4F0D"/>
    <w:rsid w:val="009E0F27"/>
    <w:rsid w:val="009E410C"/>
    <w:rsid w:val="009E7CF3"/>
    <w:rsid w:val="00A27F73"/>
    <w:rsid w:val="00A54387"/>
    <w:rsid w:val="00A57020"/>
    <w:rsid w:val="00A65075"/>
    <w:rsid w:val="00A75CB8"/>
    <w:rsid w:val="00A975FB"/>
    <w:rsid w:val="00AA7516"/>
    <w:rsid w:val="00AF5064"/>
    <w:rsid w:val="00AF5E1F"/>
    <w:rsid w:val="00B12FF2"/>
    <w:rsid w:val="00B160D2"/>
    <w:rsid w:val="00B22BC3"/>
    <w:rsid w:val="00B2623F"/>
    <w:rsid w:val="00B31E3A"/>
    <w:rsid w:val="00B33E9D"/>
    <w:rsid w:val="00B43447"/>
    <w:rsid w:val="00B44CC8"/>
    <w:rsid w:val="00B53B12"/>
    <w:rsid w:val="00B60621"/>
    <w:rsid w:val="00B77566"/>
    <w:rsid w:val="00B77D63"/>
    <w:rsid w:val="00B80F52"/>
    <w:rsid w:val="00B81937"/>
    <w:rsid w:val="00B81AB5"/>
    <w:rsid w:val="00BA3A15"/>
    <w:rsid w:val="00BA3B29"/>
    <w:rsid w:val="00BB7F11"/>
    <w:rsid w:val="00BC2542"/>
    <w:rsid w:val="00BD0479"/>
    <w:rsid w:val="00BE2673"/>
    <w:rsid w:val="00BE3F94"/>
    <w:rsid w:val="00C01DDC"/>
    <w:rsid w:val="00C01EB2"/>
    <w:rsid w:val="00C023AF"/>
    <w:rsid w:val="00C0518E"/>
    <w:rsid w:val="00C11C18"/>
    <w:rsid w:val="00C23416"/>
    <w:rsid w:val="00C2467C"/>
    <w:rsid w:val="00C31E13"/>
    <w:rsid w:val="00C32D11"/>
    <w:rsid w:val="00C55068"/>
    <w:rsid w:val="00C5543F"/>
    <w:rsid w:val="00C57E17"/>
    <w:rsid w:val="00C66DF1"/>
    <w:rsid w:val="00C81354"/>
    <w:rsid w:val="00CB214C"/>
    <w:rsid w:val="00CC2B32"/>
    <w:rsid w:val="00CD2A1B"/>
    <w:rsid w:val="00CD4A28"/>
    <w:rsid w:val="00CD7ED2"/>
    <w:rsid w:val="00CE455C"/>
    <w:rsid w:val="00D0401B"/>
    <w:rsid w:val="00D15A85"/>
    <w:rsid w:val="00D221FD"/>
    <w:rsid w:val="00D62EF2"/>
    <w:rsid w:val="00D71BD1"/>
    <w:rsid w:val="00D91FB4"/>
    <w:rsid w:val="00DA5ACA"/>
    <w:rsid w:val="00DA6A19"/>
    <w:rsid w:val="00DA77AB"/>
    <w:rsid w:val="00DB2E23"/>
    <w:rsid w:val="00DB7685"/>
    <w:rsid w:val="00DE2E1B"/>
    <w:rsid w:val="00DF4B99"/>
    <w:rsid w:val="00E37333"/>
    <w:rsid w:val="00E44136"/>
    <w:rsid w:val="00E512A1"/>
    <w:rsid w:val="00E51F7D"/>
    <w:rsid w:val="00E609CF"/>
    <w:rsid w:val="00E643CA"/>
    <w:rsid w:val="00ED2125"/>
    <w:rsid w:val="00EE267D"/>
    <w:rsid w:val="00F0010A"/>
    <w:rsid w:val="00F2189C"/>
    <w:rsid w:val="00F316DA"/>
    <w:rsid w:val="00F41E6B"/>
    <w:rsid w:val="00F4634F"/>
    <w:rsid w:val="00F61671"/>
    <w:rsid w:val="00F92E87"/>
    <w:rsid w:val="00FA1A81"/>
    <w:rsid w:val="00FC4830"/>
    <w:rsid w:val="00FD5783"/>
    <w:rsid w:val="00FE0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427D85-0238-4B9E-B4B8-8B7955B6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6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92E87"/>
    <w:pPr>
      <w:keepNext/>
      <w:keepLines/>
      <w:spacing w:before="240"/>
      <w:jc w:val="center"/>
      <w:outlineLvl w:val="0"/>
    </w:pPr>
    <w:rPr>
      <w:rFonts w:eastAsiaTheme="majorEastAsia" w:cstheme="majorBidi"/>
      <w:b/>
      <w:sz w:val="28"/>
      <w:szCs w:val="32"/>
    </w:rPr>
  </w:style>
  <w:style w:type="paragraph" w:styleId="2">
    <w:name w:val="heading 2"/>
    <w:basedOn w:val="a"/>
    <w:next w:val="a"/>
    <w:link w:val="20"/>
    <w:uiPriority w:val="9"/>
    <w:unhideWhenUsed/>
    <w:qFormat/>
    <w:rsid w:val="00F92E87"/>
    <w:pPr>
      <w:keepNext/>
      <w:keepLines/>
      <w:spacing w:before="40"/>
      <w:outlineLvl w:val="1"/>
    </w:pPr>
    <w:rPr>
      <w:rFonts w:eastAsiaTheme="majorEastAsia" w:cstheme="majorBidi"/>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B7F11"/>
    <w:pPr>
      <w:autoSpaceDE w:val="0"/>
      <w:autoSpaceDN w:val="0"/>
      <w:adjustRightInd w:val="0"/>
      <w:spacing w:after="0" w:line="240" w:lineRule="auto"/>
    </w:pPr>
    <w:rPr>
      <w:rFonts w:ascii="Calibri" w:hAnsi="Calibri" w:cs="Calibri"/>
      <w:color w:val="000000"/>
      <w:sz w:val="24"/>
      <w:szCs w:val="24"/>
    </w:rPr>
  </w:style>
  <w:style w:type="character" w:customStyle="1" w:styleId="10">
    <w:name w:val="Заголовок 1 Знак"/>
    <w:basedOn w:val="a0"/>
    <w:link w:val="1"/>
    <w:rsid w:val="00F92E87"/>
    <w:rPr>
      <w:rFonts w:ascii="Times New Roman" w:eastAsiaTheme="majorEastAsia" w:hAnsi="Times New Roman" w:cstheme="majorBidi"/>
      <w:b/>
      <w:sz w:val="28"/>
      <w:szCs w:val="32"/>
      <w:lang w:eastAsia="ru-RU"/>
    </w:rPr>
  </w:style>
  <w:style w:type="character" w:customStyle="1" w:styleId="20">
    <w:name w:val="Заголовок 2 Знак"/>
    <w:basedOn w:val="a0"/>
    <w:link w:val="2"/>
    <w:uiPriority w:val="9"/>
    <w:rsid w:val="00F92E87"/>
    <w:rPr>
      <w:rFonts w:ascii="Times New Roman" w:eastAsiaTheme="majorEastAsia" w:hAnsi="Times New Roman" w:cstheme="majorBidi"/>
      <w:sz w:val="28"/>
      <w:szCs w:val="26"/>
      <w:lang w:eastAsia="ru-RU"/>
    </w:rPr>
  </w:style>
  <w:style w:type="paragraph" w:styleId="a3">
    <w:name w:val="Balloon Text"/>
    <w:basedOn w:val="a"/>
    <w:link w:val="a4"/>
    <w:uiPriority w:val="99"/>
    <w:semiHidden/>
    <w:unhideWhenUsed/>
    <w:rsid w:val="00CD2A1B"/>
    <w:rPr>
      <w:rFonts w:ascii="Segoe UI" w:hAnsi="Segoe UI" w:cs="Segoe UI"/>
      <w:sz w:val="18"/>
      <w:szCs w:val="18"/>
    </w:rPr>
  </w:style>
  <w:style w:type="character" w:customStyle="1" w:styleId="a4">
    <w:name w:val="Текст выноски Знак"/>
    <w:basedOn w:val="a0"/>
    <w:link w:val="a3"/>
    <w:uiPriority w:val="99"/>
    <w:semiHidden/>
    <w:rsid w:val="00CD2A1B"/>
    <w:rPr>
      <w:rFonts w:ascii="Segoe UI" w:eastAsia="Times New Roman" w:hAnsi="Segoe UI" w:cs="Segoe UI"/>
      <w:sz w:val="18"/>
      <w:szCs w:val="18"/>
      <w:lang w:eastAsia="ru-RU"/>
    </w:rPr>
  </w:style>
  <w:style w:type="table" w:styleId="a5">
    <w:name w:val="Table Grid"/>
    <w:basedOn w:val="a1"/>
    <w:uiPriority w:val="39"/>
    <w:rsid w:val="00DA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223B3"/>
    <w:pPr>
      <w:ind w:left="720"/>
      <w:contextualSpacing/>
    </w:pPr>
  </w:style>
  <w:style w:type="paragraph" w:styleId="a7">
    <w:name w:val="header"/>
    <w:basedOn w:val="a"/>
    <w:link w:val="a8"/>
    <w:uiPriority w:val="99"/>
    <w:unhideWhenUsed/>
    <w:rsid w:val="00C01DDC"/>
    <w:pPr>
      <w:tabs>
        <w:tab w:val="center" w:pos="4677"/>
        <w:tab w:val="right" w:pos="9355"/>
      </w:tabs>
    </w:pPr>
    <w:rPr>
      <w:rFonts w:ascii="Calibri" w:eastAsia="Calibri" w:hAnsi="Calibri"/>
      <w:sz w:val="22"/>
      <w:szCs w:val="22"/>
      <w:lang w:eastAsia="en-US"/>
    </w:rPr>
  </w:style>
  <w:style w:type="character" w:customStyle="1" w:styleId="a8">
    <w:name w:val="Верхний колонтитул Знак"/>
    <w:basedOn w:val="a0"/>
    <w:link w:val="a7"/>
    <w:uiPriority w:val="99"/>
    <w:rsid w:val="00C01DDC"/>
    <w:rPr>
      <w:rFonts w:ascii="Calibri" w:eastAsia="Calibri" w:hAnsi="Calibri" w:cs="Times New Roman"/>
    </w:rPr>
  </w:style>
  <w:style w:type="paragraph" w:customStyle="1" w:styleId="ConsPlusNormal">
    <w:name w:val="ConsPlusNormal"/>
    <w:rsid w:val="009020A0"/>
    <w:pPr>
      <w:widowControl w:val="0"/>
      <w:autoSpaceDE w:val="0"/>
      <w:autoSpaceDN w:val="0"/>
      <w:spacing w:after="0" w:line="240" w:lineRule="auto"/>
    </w:pPr>
    <w:rPr>
      <w:rFonts w:ascii="Calibri" w:eastAsia="Times New Roman" w:hAnsi="Calibri" w:cs="Calibri"/>
      <w:szCs w:val="20"/>
      <w:lang w:eastAsia="ru-RU"/>
    </w:rPr>
  </w:style>
  <w:style w:type="table" w:customStyle="1" w:styleId="11">
    <w:name w:val="Сетка таблицы1"/>
    <w:basedOn w:val="a1"/>
    <w:next w:val="a5"/>
    <w:uiPriority w:val="39"/>
    <w:rsid w:val="0010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514C81"/>
    <w:rPr>
      <w:color w:val="0563C1" w:themeColor="hyperlink"/>
      <w:u w:val="single"/>
    </w:rPr>
  </w:style>
  <w:style w:type="character" w:styleId="aa">
    <w:name w:val="FollowedHyperlink"/>
    <w:basedOn w:val="a0"/>
    <w:uiPriority w:val="99"/>
    <w:semiHidden/>
    <w:unhideWhenUsed/>
    <w:rsid w:val="00514C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F6293-BF5A-4A65-AB32-454F78A66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1784</Words>
  <Characters>10169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 Бикейкина</dc:creator>
  <cp:lastModifiedBy>Валентина Г. Пономарева</cp:lastModifiedBy>
  <cp:revision>6</cp:revision>
  <cp:lastPrinted>2021-04-21T08:40:00Z</cp:lastPrinted>
  <dcterms:created xsi:type="dcterms:W3CDTF">2021-04-12T03:43:00Z</dcterms:created>
  <dcterms:modified xsi:type="dcterms:W3CDTF">2021-04-21T08:41:00Z</dcterms:modified>
</cp:coreProperties>
</file>