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24.07.2017</w:t>
      </w:r>
      <w:r>
        <w:rPr>
          <w:b/>
          <w:sz w:val="28"/>
          <w:szCs w:val="28"/>
        </w:rPr>
        <w:t xml:space="preserve"> № 256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07.04.2025</w:t>
      </w:r>
      <w:r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по результатам общественных обсуждений по проекту внесения изменений в 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</w:rPr>
        <w:t xml:space="preserve"> от __________,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24.07.2017 № 256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столбце 3 строки 3.1</w:t>
      </w:r>
      <w:r>
        <w:rPr>
          <w:sz w:val="28"/>
          <w:szCs w:val="28"/>
        </w:rPr>
        <w:t xml:space="preserve"> таблицы № 1 пункта 40 главы 11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Верх-Тулинского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  <w:highlight w:val="none"/>
        </w:rPr>
        <w:t xml:space="preserve">исключить абзацы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Религиозное использование (3.7)</w:t>
      </w:r>
      <w:r/>
    </w:p>
    <w:p>
      <w:pPr>
        <w:pStyle w:val="963"/>
        <w:ind w:firstLine="708"/>
      </w:pPr>
      <w:r>
        <w:rPr>
          <w:sz w:val="28"/>
          <w:szCs w:val="28"/>
          <w:highlight w:val="none"/>
        </w:rPr>
        <w:t xml:space="preserve">Осуществление религиозных обрядов (3.7.1)</w:t>
      </w:r>
      <w:r/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Религиозное управление и образование (3.7.2)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75</cp:revision>
  <dcterms:created xsi:type="dcterms:W3CDTF">2021-01-27T03:27:00Z</dcterms:created>
  <dcterms:modified xsi:type="dcterms:W3CDTF">2025-04-18T05:33:26Z</dcterms:modified>
  <cp:version>917504</cp:version>
</cp:coreProperties>
</file>