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8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2"/>
        <w:gridCol w:w="222"/>
        <w:gridCol w:w="1365"/>
        <w:gridCol w:w="2729"/>
      </w:tblGrid>
      <w:tr w:rsidR="00283B4A">
        <w:trPr>
          <w:trHeight w:val="27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27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</w:tr>
      <w:tr w:rsidR="00283B4A">
        <w:trPr>
          <w:trHeight w:val="25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283B4A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0"/>
              </w:rPr>
            </w:pPr>
          </w:p>
        </w:tc>
        <w:tc>
          <w:tcPr>
            <w:tcW w:w="1587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0503760</w:t>
            </w:r>
          </w:p>
        </w:tc>
      </w:tr>
      <w:tr w:rsidR="00283B4A">
        <w:trPr>
          <w:trHeight w:val="320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Дата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01.01.2025</w:t>
            </w:r>
          </w:p>
        </w:tc>
      </w:tr>
      <w:tr w:rsidR="00283B4A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Учреждение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Новосибирский район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 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</w:tr>
      <w:tr w:rsidR="00283B4A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Обособленное подразделение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0"/>
              </w:rPr>
            </w:pP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0"/>
              </w:rPr>
            </w:pPr>
          </w:p>
        </w:tc>
      </w:tr>
      <w:tr w:rsidR="00283B4A">
        <w:trPr>
          <w:trHeight w:val="4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Учредитель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50640000</w:t>
            </w:r>
          </w:p>
        </w:tc>
      </w:tr>
      <w:tr w:rsidR="00283B4A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органа,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0"/>
              </w:rPr>
            </w:pPr>
          </w:p>
        </w:tc>
      </w:tr>
      <w:tr w:rsidR="00283B4A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осуществляющего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0"/>
              </w:rPr>
            </w:pPr>
          </w:p>
        </w:tc>
      </w:tr>
      <w:tr w:rsidR="00283B4A">
        <w:trPr>
          <w:trHeight w:val="320"/>
        </w:trPr>
        <w:tc>
          <w:tcPr>
            <w:tcW w:w="5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полномочия учредителя   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по БК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</w:tr>
      <w:tr w:rsidR="00283B4A">
        <w:trPr>
          <w:trHeight w:val="282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квартальная, годовая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3B4A">
        <w:trPr>
          <w:trHeight w:val="3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Балансу по форме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0503730</w:t>
            </w:r>
          </w:p>
        </w:tc>
      </w:tr>
      <w:tr w:rsidR="00283B4A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   по ОКЕИ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283B4A">
        <w:trPr>
          <w:trHeight w:val="282"/>
        </w:trPr>
        <w:tc>
          <w:tcPr>
            <w:tcW w:w="971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</w:tr>
    </w:tbl>
    <w:p w:rsidR="00283B4A" w:rsidRDefault="00283B4A">
      <w:pPr>
        <w:rPr>
          <w:vanish/>
        </w:rPr>
      </w:pPr>
    </w:p>
    <w:tbl>
      <w:tblPr>
        <w:tblW w:w="934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0"/>
        <w:gridCol w:w="6"/>
      </w:tblGrid>
      <w:tr w:rsidR="00283B4A">
        <w:trPr>
          <w:trHeight w:val="2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997C86">
            <w:pPr>
              <w:ind w:left="1068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28"/>
              </w:rPr>
              <w:t>    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Организационная структура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учреждения</w:t>
            </w:r>
          </w:p>
          <w:p w:rsidR="00283B4A" w:rsidRDefault="00997C86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 состоянию на 01.01.2025 года в Новосибирском районе числилось 66 бюджетных и автономных учреждений, из них: 61 бюджетных учреждения, 5 автономных учреждений.</w:t>
            </w:r>
          </w:p>
          <w:p w:rsidR="00283B4A" w:rsidRDefault="00997C86">
            <w:pPr>
              <w:spacing w:before="240" w:beforeAutospacing="1" w:after="240" w:afterAutospacing="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br/>
            </w:r>
          </w:p>
          <w:p w:rsidR="00283B4A" w:rsidRDefault="00997C8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2.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Результаты деятельности учреждения</w:t>
            </w:r>
          </w:p>
          <w:p w:rsidR="00283B4A" w:rsidRDefault="00997C8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Свою финансово-хозяйств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енную деятельность бюджетные и автономные учреждения осуществляют в соответствии с инструкцией, утвержденной Приказами Минфина России от 16.12.2010 № 174н «Об утверждении Плана счетов бухгалтерского учета бюджетных учреждений и Инструкции по его применению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 и от 23.12.2010 № 183н «Об утверждении Плана счетов бухгалтерского учета автономных учреждений и Инструкции по его применению». В 2024 году все бюджетные и автономные учреждения осуществляли свою деятельность, согласно разработанных и утвержденных муници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пальных заданий, а также планов финансово-хозяйственной деятельности. Администрацией района и администрациями поселений были заключены Соглашения с бюджетными и автономными учреждениями на предоставление субсидий на выполнение муниципального задания 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оставления субсидий на иные цели.</w:t>
            </w:r>
          </w:p>
          <w:p w:rsidR="00283B4A" w:rsidRDefault="00997C8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На уровне муниципального района финансирование субсидии на выполнение муниципального задания и субсидии на иные цели осуществляла администрация Новосибирского района Новосибирской области. На уровне поселений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инансирование в 2024 году осуществляют сельские поселения (Станционный, Морской сельсоветы) и рабочий поселок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Краснообск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83B4A" w:rsidRDefault="00997C8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    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Кроме этого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бюджетные и автономные учреждения осуществляли приносящую доход деятельность.</w:t>
            </w:r>
          </w:p>
          <w:p w:rsidR="00283B4A" w:rsidRDefault="00997C8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         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          3. Анализ п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оказателей бухгалтерской отчетности субъекта бюджетной отчетности.</w:t>
            </w:r>
          </w:p>
          <w:p w:rsidR="00283B4A" w:rsidRDefault="00997C8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Пояснения по ошибкам:</w:t>
            </w:r>
          </w:p>
          <w:p w:rsidR="00283B4A" w:rsidRDefault="00997C86">
            <w:r>
              <w:br/>
            </w:r>
          </w:p>
          <w:p w:rsidR="00283B4A" w:rsidRDefault="00283B4A"/>
          <w:tbl>
            <w:tblPr>
              <w:tblW w:w="9340" w:type="dxa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0"/>
              <w:gridCol w:w="3884"/>
              <w:gridCol w:w="56"/>
            </w:tblGrid>
            <w:tr w:rsidR="00283B4A">
              <w:trPr>
                <w:trHeight w:val="282"/>
              </w:trPr>
              <w:tc>
                <w:tcPr>
                  <w:tcW w:w="0" w:type="auto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83B4A" w:rsidRDefault="00997C86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Segoe UI" w:eastAsia="Segoe UI" w:hAnsi="Segoe UI" w:cs="Segoe UI"/>
                      <w:sz w:val="20"/>
                      <w:szCs w:val="20"/>
                    </w:rPr>
                    <w:t> </w:t>
                  </w:r>
                </w:p>
                <w:tbl>
                  <w:tblPr>
                    <w:tblW w:w="0" w:type="auto"/>
                    <w:tblBorders>
                      <w:top w:val="none" w:sz="6" w:space="0" w:color="000000"/>
                      <w:left w:val="none" w:sz="6" w:space="0" w:color="000000"/>
                      <w:bottom w:val="none" w:sz="6" w:space="0" w:color="000000"/>
                      <w:right w:val="none" w:sz="6" w:space="0" w:color="000000"/>
                      <w:insideH w:val="none" w:sz="6" w:space="0" w:color="000000"/>
                      <w:insideV w:val="non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8"/>
                    <w:gridCol w:w="2341"/>
                    <w:gridCol w:w="1162"/>
                    <w:gridCol w:w="3437"/>
                    <w:gridCol w:w="572"/>
                    <w:gridCol w:w="954"/>
                  </w:tblGrid>
                  <w:tr w:rsidR="00283B4A"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формула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документ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таблица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код строки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графа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значение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0503710G Тип=Сводный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№2 (Расходы)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+</w:t>
                        </w:r>
                        <w:hyperlink r:id="rId4">
                          <w:r>
                            <w:rPr>
                              <w:rStyle w:val="a4"/>
                              <w:rFonts w:ascii="Arial" w:eastAsia="Arial" w:hAnsi="Arial" w:cs="Arial"/>
                              <w:sz w:val="20"/>
                              <w:szCs w:val="20"/>
                            </w:rPr>
                            <w:t>07020000000000806540120251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hyperlink r:id="rId5">
                          <w:r>
                            <w:rPr>
                              <w:rStyle w:val="a4"/>
                              <w:rFonts w:ascii="Arial" w:eastAsia="Arial" w:hAnsi="Arial" w:cs="Arial"/>
                              <w:sz w:val="20"/>
                              <w:szCs w:val="20"/>
                            </w:rPr>
                            <w:t>279 000,00</w:t>
                          </w:r>
                        </w:hyperlink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0503710G Тип=Сводный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№2 (Расходы)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-нет строк для фильтра %806Х40120251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0503710G Тип=Сводный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№2 (Расходы)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+нет строк для фильтра %806Х40120251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0503710G Тип=Сводный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№2 (Расходы)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-нет строк для фильтра %806Х40120251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=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=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410Gm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№1 (Доходы)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 xml:space="preserve">+нет строк для фильтра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%197140110189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410Gm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№1 (Доходы)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-нет строк для фильтра %197140110189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410Gm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№1 (Доходы)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+</w:t>
                        </w:r>
                        <w:hyperlink r:id="rId6">
                          <w:r>
                            <w:rPr>
                              <w:rStyle w:val="a4"/>
                              <w:rFonts w:ascii="Arial" w:eastAsia="Arial" w:hAnsi="Arial" w:cs="Arial"/>
                              <w:sz w:val="20"/>
                              <w:szCs w:val="20"/>
                              <w:shd w:val="clear" w:color="auto" w:fill="EFEFFF"/>
                            </w:rPr>
                            <w:t>20710050050000197140110191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hyperlink r:id="rId7">
                          <w:r>
                            <w:rPr>
                              <w:rStyle w:val="a4"/>
                              <w:rFonts w:ascii="Arial" w:eastAsia="Arial" w:hAnsi="Arial" w:cs="Arial"/>
                              <w:sz w:val="20"/>
                              <w:szCs w:val="20"/>
                              <w:shd w:val="clear" w:color="auto" w:fill="EFEFFF"/>
                            </w:rPr>
                            <w:t>477 781,65</w:t>
                          </w:r>
                        </w:hyperlink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410Gm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№1 (Доходы)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-нет строк для фильтра %197140110191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знач. слева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279 000,00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знач. справа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477 781,65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отклонение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20"/>
                            <w:szCs w:val="20"/>
                            <w:shd w:val="clear" w:color="auto" w:fill="EFEFFF"/>
                          </w:rPr>
                          <w:t>-198 781,65</w:t>
                        </w:r>
                      </w:p>
                    </w:tc>
                  </w:tr>
                </w:tbl>
                <w:p w:rsidR="00283B4A" w:rsidRDefault="00997C86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Segoe UI" w:eastAsia="Segoe UI" w:hAnsi="Segoe UI" w:cs="Segoe UI"/>
                      <w:sz w:val="20"/>
                      <w:szCs w:val="20"/>
                    </w:rPr>
                    <w:t> </w:t>
                  </w:r>
                </w:p>
                <w:tbl>
                  <w:tblPr>
                    <w:tblW w:w="0" w:type="auto"/>
                    <w:tblBorders>
                      <w:top w:val="none" w:sz="6" w:space="0" w:color="000000"/>
                      <w:left w:val="none" w:sz="6" w:space="0" w:color="000000"/>
                      <w:bottom w:val="none" w:sz="6" w:space="0" w:color="000000"/>
                      <w:right w:val="none" w:sz="6" w:space="0" w:color="000000"/>
                      <w:insideH w:val="none" w:sz="6" w:space="0" w:color="000000"/>
                      <w:insideV w:val="non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8"/>
                    <w:gridCol w:w="2296"/>
                    <w:gridCol w:w="1154"/>
                    <w:gridCol w:w="3420"/>
                    <w:gridCol w:w="572"/>
                    <w:gridCol w:w="1024"/>
                  </w:tblGrid>
                  <w:tr w:rsidR="00283B4A"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формула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документ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таблица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код строки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графа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8" w:space="0" w:color="808080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45" w:type="dxa"/>
                          <w:left w:w="45" w:type="dxa"/>
                          <w:bottom w:w="45" w:type="dxa"/>
                          <w:right w:w="4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sz w:val="15"/>
                            <w:szCs w:val="15"/>
                            <w:shd w:val="clear" w:color="auto" w:fill="EFEFFF"/>
                          </w:rPr>
                          <w:t>значение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0503710G Тип=Сводный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№2 (Расходы)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+нет строк для фильтра %806Х40120254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0503710G Тип=Сводный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№2 (Расходы)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-нет строк для фильтра %806Х40120254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0503710G Тип=Сводный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 xml:space="preserve">№2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(Расходы)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+нет строк для фильтра %806Х40120254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0503710G Тип=Сводный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№2 (Расходы)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-нет строк для фильтра %806Х40120254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=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=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410Gm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№1 (Доходы)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+</w:t>
                        </w:r>
                        <w:hyperlink r:id="rId8">
                          <w:r>
                            <w:rPr>
                              <w:rStyle w:val="a4"/>
                              <w:rFonts w:ascii="Arial" w:eastAsia="Arial" w:hAnsi="Arial" w:cs="Arial"/>
                              <w:sz w:val="20"/>
                              <w:szCs w:val="20"/>
                              <w:shd w:val="clear" w:color="auto" w:fill="EFEFFF"/>
                            </w:rPr>
                            <w:t>20710100100000197140110195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№3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hyperlink r:id="rId9">
                          <w:r>
                            <w:rPr>
                              <w:rStyle w:val="a4"/>
                              <w:rFonts w:ascii="Arial" w:eastAsia="Arial" w:hAnsi="Arial" w:cs="Arial"/>
                              <w:sz w:val="20"/>
                              <w:szCs w:val="20"/>
                              <w:shd w:val="clear" w:color="auto" w:fill="EFEFFF"/>
                            </w:rPr>
                            <w:t>3 341 155,16</w:t>
                          </w:r>
                        </w:hyperlink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410Gm за 2024 год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№1 (Доходы)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-нет строк для фильтра %197140110195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№2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знач. слева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0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знач. справа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/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3 341 155,16</w:t>
                        </w:r>
                      </w:p>
                    </w:tc>
                  </w:tr>
                  <w:tr w:rsidR="00283B4A">
                    <w:tc>
                      <w:tcPr>
                        <w:tcW w:w="0" w:type="auto"/>
                        <w:tcBorders>
                          <w:top w:val="nil"/>
                          <w:left w:val="single" w:sz="8" w:space="0" w:color="808080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  <w:shd w:val="clear" w:color="auto" w:fill="EFEFFF"/>
                          </w:rPr>
                          <w:t>отклонение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283B4A">
                        <w:pPr>
                          <w:shd w:val="clear" w:color="auto" w:fill="EFEFFF"/>
                          <w:rPr>
                            <w:shd w:val="clear" w:color="auto" w:fill="EFEFFF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8" w:space="0" w:color="808080"/>
                          <w:right w:val="single" w:sz="8" w:space="0" w:color="808080"/>
                        </w:tcBorders>
                        <w:shd w:val="clear" w:color="auto" w:fill="EFEFFF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283B4A" w:rsidRDefault="00997C86">
                        <w:pPr>
                          <w:shd w:val="clear" w:color="auto" w:fill="EFEFFF"/>
                          <w:spacing w:after="240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hd w:val="clear" w:color="auto" w:fill="EFEFFF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FF0000"/>
                            <w:sz w:val="20"/>
                            <w:szCs w:val="20"/>
                            <w:shd w:val="clear" w:color="auto" w:fill="EFEFFF"/>
                          </w:rPr>
                          <w:t xml:space="preserve">-3 341 </w:t>
                        </w:r>
                        <w:r>
                          <w:rPr>
                            <w:rFonts w:ascii="Arial" w:eastAsia="Arial" w:hAnsi="Arial" w:cs="Arial"/>
                            <w:color w:val="FF0000"/>
                            <w:sz w:val="20"/>
                            <w:szCs w:val="20"/>
                            <w:shd w:val="clear" w:color="auto" w:fill="EFEFFF"/>
                          </w:rPr>
                          <w:t>155,16</w:t>
                        </w:r>
                      </w:p>
                    </w:tc>
                  </w:tr>
                </w:tbl>
                <w:p w:rsidR="00283B4A" w:rsidRDefault="00997C86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            Расхождение между формами 410 и 0503710:</w:t>
                  </w:r>
                </w:p>
                <w:p w:rsidR="00283B4A" w:rsidRDefault="00997C86">
                  <w:pPr>
                    <w:spacing w:beforeAutospacing="1" w:afterAutospacing="1"/>
                    <w:ind w:firstLine="708"/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Segoe UI" w:eastAsia="Segoe UI" w:hAnsi="Segoe UI" w:cs="Segoe UI"/>
                      <w:b/>
                      <w:sz w:val="24"/>
                      <w:szCs w:val="24"/>
                    </w:rPr>
                    <w:t>279 000,0 – 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передача</w:t>
                  </w:r>
                  <w:r>
                    <w:rPr>
                      <w:rFonts w:ascii="Segoe UI" w:eastAsia="Segoe UI" w:hAnsi="Segoe UI" w:cs="Segoe UI"/>
                      <w:b/>
                      <w:sz w:val="24"/>
                      <w:szCs w:val="24"/>
                    </w:rPr>
                    <w:t> 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НФА государственному общеобразовательному учреждению Луганской народной республики «</w:t>
                  </w:r>
                  <w:proofErr w:type="spellStart"/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Беловодская</w:t>
                  </w:r>
                  <w:proofErr w:type="spellEnd"/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 xml:space="preserve"> средняя школа №1»;</w:t>
                  </w:r>
                </w:p>
                <w:p w:rsidR="00283B4A" w:rsidRDefault="00997C86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         </w:t>
                  </w:r>
                  <w:r>
                    <w:rPr>
                      <w:rFonts w:ascii="Segoe UI" w:eastAsia="Segoe UI" w:hAnsi="Segoe UI" w:cs="Segoe UI"/>
                      <w:b/>
                      <w:sz w:val="24"/>
                      <w:szCs w:val="24"/>
                    </w:rPr>
                    <w:t>477 781,65 – 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 xml:space="preserve">получение НФА от ГАУК Новосибирская 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государственная областная научная библиотека». Код главы по БК </w:t>
                  </w:r>
                  <w:r>
                    <w:rPr>
                      <w:rFonts w:ascii="Segoe UI" w:eastAsia="Segoe UI" w:hAnsi="Segoe UI" w:cs="Segoe UI"/>
                      <w:b/>
                      <w:sz w:val="24"/>
                      <w:szCs w:val="24"/>
                    </w:rPr>
                    <w:t>131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;</w:t>
                  </w:r>
                </w:p>
                <w:p w:rsidR="00283B4A" w:rsidRDefault="00997C86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3 341 155,16 –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получение НФА от Министерства обороны РФ. Код главы по БК 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187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Segoe UI" w:eastAsia="Segoe UI" w:hAnsi="Segoe UI" w:cs="Segoe UI"/>
                      <w:sz w:val="20"/>
                      <w:szCs w:val="20"/>
                    </w:rPr>
                    <w:t xml:space="preserve">            </w:t>
                  </w:r>
                  <w:r>
                    <w:rPr>
                      <w:rFonts w:ascii="Segoe UI" w:eastAsia="Segoe UI" w:hAnsi="Segoe UI" w:cs="Segoe UI"/>
                      <w:sz w:val="20"/>
                      <w:szCs w:val="20"/>
                    </w:rPr>
                    <w:br/>
                    <w:t xml:space="preserve">            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Отклонения показателей кредиторской задолженности между формами 769 и 738 об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разовались по причине наличия показателей в форме 738 обязательств финансовых годов следующих за отчетным.</w:t>
                  </w:r>
                  <w:r>
                    <w:rPr>
                      <w:rFonts w:ascii="Segoe UI" w:eastAsia="Segoe UI" w:hAnsi="Segoe UI" w:cs="Segoe UI"/>
                      <w:sz w:val="20"/>
                    </w:rPr>
                    <w:br/>
                  </w:r>
                  <w:r>
                    <w:rPr>
                      <w:rFonts w:ascii="Segoe UI" w:eastAsia="Segoe UI" w:hAnsi="Segoe UI" w:cs="Segoe UI"/>
                      <w:sz w:val="20"/>
                    </w:rPr>
                    <w:br/>
                  </w:r>
                  <w:r>
                    <w:rPr>
                      <w:rFonts w:ascii="Segoe UI" w:eastAsia="Segoe UI" w:hAnsi="Segoe UI" w:cs="Segoe UI"/>
                      <w:sz w:val="20"/>
                      <w:szCs w:val="20"/>
                    </w:rPr>
                    <w:t xml:space="preserve">            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На конец отчетного периода имеется дебетовый остаток по КФО 4: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br/>
                    <w:t>-   ВР 852 по счету 30314 по транспортному налогу = 49623,64 руб.(оплачен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t>ы авансовые платежи);</w:t>
                  </w:r>
                  <w:r>
                    <w:rPr>
                      <w:rFonts w:ascii="Segoe UI" w:eastAsia="Segoe UI" w:hAnsi="Segoe UI" w:cs="Segoe UI"/>
                      <w:sz w:val="24"/>
                      <w:szCs w:val="24"/>
                    </w:rPr>
                    <w:br/>
                    <w:t>-   ВР 851 по счету 30314 земельный и имущественный налог = 63377686,12 руб. (оплачены авансовые платежи).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83B4A" w:rsidRDefault="00997C86">
                  <w:pPr>
                    <w:rPr>
                      <w:rFonts w:ascii="Times New Roman" w:eastAsia="Times New Roman" w:hAnsi="Times New Roman" w:cs="Times New Roman"/>
                      <w:sz w:val="24"/>
                    </w:rPr>
                  </w:pPr>
                  <w:r>
                    <w:rPr>
                      <w:rFonts w:ascii="Arial CYR" w:eastAsia="Arial CYR" w:hAnsi="Arial CYR" w:cs="Arial CYR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</w:tr>
            <w:tr w:rsidR="00283B4A">
              <w:trPr>
                <w:trHeight w:val="282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83B4A" w:rsidRDefault="00283B4A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83B4A" w:rsidRDefault="00283B4A">
                  <w:pPr>
                    <w:rPr>
                      <w:sz w:val="24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283B4A" w:rsidRDefault="00283B4A">
                  <w:pPr>
                    <w:rPr>
                      <w:sz w:val="24"/>
                    </w:rPr>
                  </w:pPr>
                </w:p>
              </w:tc>
            </w:tr>
            <w:tr w:rsidR="00283B4A">
              <w:tc>
                <w:tcPr>
                  <w:tcW w:w="46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83B4A" w:rsidRDefault="00283B4A"/>
              </w:tc>
              <w:tc>
                <w:tcPr>
                  <w:tcW w:w="46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83B4A" w:rsidRDefault="00283B4A"/>
              </w:tc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283B4A" w:rsidRDefault="00283B4A"/>
              </w:tc>
            </w:tr>
          </w:tbl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" w:eastAsia="Segoe UI" w:hAnsi="Segoe UI" w:cs="Segoe UI"/>
                <w:sz w:val="20"/>
                <w:szCs w:val="20"/>
              </w:rPr>
              <w:t> </w:t>
            </w:r>
            <w:r>
              <w:rPr>
                <w:rFonts w:ascii="Arial CYR" w:eastAsia="Arial CYR" w:hAnsi="Arial CYR" w:cs="Arial CYR"/>
                <w:sz w:val="24"/>
                <w:szCs w:val="24"/>
              </w:rPr>
              <w:t>Отклонения по ф.0503775, а именно:</w:t>
            </w:r>
          </w:p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 CYR" w:eastAsia="Arial CYR" w:hAnsi="Arial CYR" w:cs="Arial CYR"/>
                <w:sz w:val="24"/>
                <w:szCs w:val="24"/>
              </w:rPr>
              <w:t xml:space="preserve">а) по р.1 "О принятых и неисполненных обязательствах" - причины неисполнения: </w:t>
            </w:r>
            <w:r>
              <w:rPr>
                <w:rFonts w:ascii="Arial CYR" w:eastAsia="Arial CYR" w:hAnsi="Arial CYR" w:cs="Arial CYR"/>
                <w:sz w:val="24"/>
                <w:szCs w:val="24"/>
              </w:rPr>
              <w:t xml:space="preserve">ст.211, </w:t>
            </w:r>
            <w:proofErr w:type="gramStart"/>
            <w:r>
              <w:rPr>
                <w:rFonts w:ascii="Arial CYR" w:eastAsia="Arial CYR" w:hAnsi="Arial CYR" w:cs="Arial CYR"/>
                <w:sz w:val="24"/>
                <w:szCs w:val="24"/>
              </w:rPr>
              <w:t>213,342  КФО</w:t>
            </w:r>
            <w:proofErr w:type="gramEnd"/>
            <w:r>
              <w:rPr>
                <w:rFonts w:ascii="Arial CYR" w:eastAsia="Arial CYR" w:hAnsi="Arial CYR" w:cs="Arial CYR"/>
                <w:sz w:val="24"/>
                <w:szCs w:val="24"/>
              </w:rPr>
              <w:t xml:space="preserve"> 2  - оплата произведена согласно собранным доходам от предпринимательской деятельности; </w:t>
            </w:r>
          </w:p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 CYR" w:eastAsia="Arial CYR" w:hAnsi="Arial CYR" w:cs="Arial CYR"/>
                <w:sz w:val="24"/>
                <w:szCs w:val="24"/>
              </w:rPr>
              <w:t>КФО 4 ст.211 - запланирован резерв по з/</w:t>
            </w:r>
            <w:proofErr w:type="spellStart"/>
            <w:r>
              <w:rPr>
                <w:rFonts w:ascii="Arial CYR" w:eastAsia="Arial CYR" w:hAnsi="Arial CYR" w:cs="Arial CYR"/>
                <w:sz w:val="24"/>
                <w:szCs w:val="24"/>
              </w:rPr>
              <w:t>пл</w:t>
            </w:r>
            <w:proofErr w:type="spellEnd"/>
            <w:r>
              <w:rPr>
                <w:rFonts w:ascii="Arial CYR" w:eastAsia="Arial CYR" w:hAnsi="Arial CYR" w:cs="Arial CYR"/>
                <w:sz w:val="24"/>
                <w:szCs w:val="24"/>
              </w:rPr>
              <w:t>, ст.213 - оплата по налогам на з/</w:t>
            </w:r>
            <w:proofErr w:type="spellStart"/>
            <w:r>
              <w:rPr>
                <w:rFonts w:ascii="Arial CYR" w:eastAsia="Arial CYR" w:hAnsi="Arial CYR" w:cs="Arial CYR"/>
                <w:sz w:val="24"/>
                <w:szCs w:val="24"/>
              </w:rPr>
              <w:t>пл</w:t>
            </w:r>
            <w:proofErr w:type="spellEnd"/>
            <w:r>
              <w:rPr>
                <w:rFonts w:ascii="Arial CYR" w:eastAsia="Arial CYR" w:hAnsi="Arial CYR" w:cs="Arial CYR"/>
                <w:sz w:val="24"/>
                <w:szCs w:val="24"/>
              </w:rPr>
              <w:t xml:space="preserve"> будет произведена в январе 2025г., ст. 221,223 - договоры заключены</w:t>
            </w:r>
            <w:r>
              <w:rPr>
                <w:rFonts w:ascii="Arial CYR" w:eastAsia="Arial CYR" w:hAnsi="Arial CYR" w:cs="Arial CYR"/>
                <w:sz w:val="24"/>
                <w:szCs w:val="24"/>
              </w:rPr>
              <w:t xml:space="preserve"> в соответствии с выделенными лимитами, часть </w:t>
            </w:r>
          </w:p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 CYR" w:eastAsia="Arial CYR" w:hAnsi="Arial CYR" w:cs="Arial CYR"/>
                <w:sz w:val="24"/>
                <w:szCs w:val="24"/>
              </w:rPr>
              <w:t>неисполненных обязательств будет оплачена в январе 2025г. по документам, предоставленным на 31.12.2024г., в части излишне заключенных обязательств будут произведены расторжения договоров на суммы исполненных о</w:t>
            </w:r>
            <w:r>
              <w:rPr>
                <w:rFonts w:ascii="Arial CYR" w:eastAsia="Arial CYR" w:hAnsi="Arial CYR" w:cs="Arial CYR"/>
                <w:sz w:val="24"/>
                <w:szCs w:val="24"/>
              </w:rPr>
              <w:t>бязательств.</w:t>
            </w:r>
          </w:p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 CYR" w:eastAsia="Arial CYR" w:hAnsi="Arial CYR" w:cs="Arial CYR"/>
                <w:sz w:val="24"/>
                <w:szCs w:val="24"/>
              </w:rPr>
              <w:t xml:space="preserve">КФО 5 ст.211 -   по р.2 "О неисполненных денежных обязательствах" </w:t>
            </w:r>
            <w:proofErr w:type="gramStart"/>
            <w:r>
              <w:rPr>
                <w:rFonts w:ascii="Arial CYR" w:eastAsia="Arial CYR" w:hAnsi="Arial CYR" w:cs="Arial CYR"/>
                <w:sz w:val="24"/>
                <w:szCs w:val="24"/>
              </w:rPr>
              <w:t>-  ст.</w:t>
            </w:r>
            <w:proofErr w:type="gramEnd"/>
            <w:r>
              <w:rPr>
                <w:rFonts w:ascii="Arial CYR" w:eastAsia="Arial CYR" w:hAnsi="Arial CYR" w:cs="Arial CYR"/>
                <w:sz w:val="24"/>
                <w:szCs w:val="24"/>
              </w:rPr>
              <w:t xml:space="preserve"> 211, 213 - задолженность по налогам, срок оплаты которой наступает в январе 2025г..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>
            <w:pPr>
              <w:rPr>
                <w:sz w:val="24"/>
              </w:rPr>
            </w:pPr>
          </w:p>
        </w:tc>
      </w:tr>
    </w:tbl>
    <w:p w:rsidR="00283B4A" w:rsidRDefault="00997C86">
      <w:r>
        <w:rPr>
          <w:rFonts w:ascii="Arial CYR" w:eastAsia="Arial CYR" w:hAnsi="Arial CYR" w:cs="Arial CYR"/>
          <w:sz w:val="18"/>
        </w:rPr>
        <w:lastRenderedPageBreak/>
        <w:br/>
      </w:r>
    </w:p>
    <w:p w:rsidR="00283B4A" w:rsidRDefault="00997C86">
      <w:r>
        <w:rPr>
          <w:rFonts w:ascii="Arial CYR" w:eastAsia="Arial CYR" w:hAnsi="Arial CYR" w:cs="Arial CYR"/>
          <w:sz w:val="18"/>
        </w:rPr>
        <w:br/>
      </w:r>
    </w:p>
    <w:p w:rsidR="00283B4A" w:rsidRDefault="00997C86">
      <w:r>
        <w:t>%FILE_CONTENT%</w:t>
      </w:r>
    </w:p>
    <w:p w:rsidR="00283B4A" w:rsidRDefault="00997C86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42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6"/>
        <w:gridCol w:w="4419"/>
        <w:gridCol w:w="368"/>
        <w:gridCol w:w="2401"/>
        <w:gridCol w:w="56"/>
      </w:tblGrid>
      <w:tr w:rsidR="00283B4A"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3B4A"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3B4A"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Михайлов Андрей Геннадьевич</w:t>
            </w:r>
          </w:p>
        </w:tc>
      </w:tr>
      <w:tr w:rsidR="00283B4A">
        <w:trPr>
          <w:trHeight w:val="248"/>
        </w:trPr>
        <w:tc>
          <w:tcPr>
            <w:tcW w:w="27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283B4A">
        <w:trPr>
          <w:trHeight w:val="151"/>
        </w:trPr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9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3B4A">
        <w:trPr>
          <w:trHeight w:val="251"/>
        </w:trPr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 планово-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Якушина Елена Александровна</w:t>
            </w:r>
          </w:p>
        </w:tc>
      </w:tr>
      <w:tr w:rsidR="00283B4A">
        <w:trPr>
          <w:trHeight w:val="148"/>
        </w:trPr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экономической службы</w:t>
            </w: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283B4A">
        <w:trPr>
          <w:trHeight w:val="80"/>
        </w:trPr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9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8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3B4A">
        <w:trPr>
          <w:trHeight w:val="281"/>
        </w:trPr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Якушина Елена Александровна</w:t>
            </w:r>
          </w:p>
        </w:tc>
      </w:tr>
      <w:tr w:rsidR="00283B4A">
        <w:trPr>
          <w:trHeight w:val="281"/>
        </w:trPr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283B4A">
        <w:trPr>
          <w:trHeight w:val="281"/>
        </w:trPr>
        <w:tc>
          <w:tcPr>
            <w:tcW w:w="2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3B4A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</w:tr>
    </w:tbl>
    <w:p w:rsidR="00283B4A" w:rsidRDefault="00997C8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49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2"/>
        <w:gridCol w:w="808"/>
        <w:gridCol w:w="2362"/>
        <w:gridCol w:w="276"/>
      </w:tblGrid>
      <w:tr w:rsidR="00283B4A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83B4A">
        <w:trPr>
          <w:trHeight w:val="306"/>
        </w:trPr>
        <w:tc>
          <w:tcPr>
            <w:tcW w:w="641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             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283B4A">
            <w:pPr>
              <w:rPr>
                <w:sz w:val="24"/>
              </w:rPr>
            </w:pPr>
          </w:p>
        </w:tc>
      </w:tr>
      <w:tr w:rsidR="00283B4A">
        <w:trPr>
          <w:trHeight w:val="327"/>
        </w:trPr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283B4A">
            <w:pPr>
              <w:rPr>
                <w:sz w:val="24"/>
              </w:rPr>
            </w:pPr>
          </w:p>
        </w:tc>
      </w:tr>
      <w:tr w:rsidR="00283B4A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283B4A">
            <w:pPr>
              <w:rPr>
                <w:sz w:val="24"/>
              </w:rPr>
            </w:pPr>
          </w:p>
        </w:tc>
      </w:tr>
    </w:tbl>
    <w:p w:rsidR="00283B4A" w:rsidRDefault="00997C8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83B4A" w:rsidRDefault="00997C8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78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1958"/>
        <w:gridCol w:w="189"/>
        <w:gridCol w:w="3598"/>
        <w:gridCol w:w="262"/>
        <w:gridCol w:w="2498"/>
      </w:tblGrid>
      <w:tr w:rsidR="00283B4A">
        <w:trPr>
          <w:trHeight w:val="7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1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283B4A">
            <w:pPr>
              <w:rPr>
                <w:sz w:val="8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283B4A">
            <w:pPr>
              <w:rPr>
                <w:sz w:val="8"/>
              </w:rPr>
            </w:pPr>
          </w:p>
        </w:tc>
      </w:tr>
      <w:tr w:rsidR="00283B4A">
        <w:trPr>
          <w:trHeight w:val="19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1929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83B4A" w:rsidRDefault="00997C86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(подпись) 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83B4A" w:rsidRDefault="00997C86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283B4A" w:rsidRDefault="00997C8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1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1835"/>
        <w:gridCol w:w="256"/>
        <w:gridCol w:w="2911"/>
        <w:gridCol w:w="256"/>
        <w:gridCol w:w="564"/>
        <w:gridCol w:w="515"/>
        <w:gridCol w:w="489"/>
        <w:gridCol w:w="320"/>
        <w:gridCol w:w="1578"/>
      </w:tblGrid>
      <w:tr w:rsidR="00283B4A">
        <w:trPr>
          <w:trHeight w:val="80"/>
        </w:trPr>
        <w:tc>
          <w:tcPr>
            <w:tcW w:w="11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283B4A">
            <w:pPr>
              <w:rPr>
                <w:sz w:val="8"/>
              </w:rPr>
            </w:pPr>
          </w:p>
        </w:tc>
        <w:tc>
          <w:tcPr>
            <w:tcW w:w="151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B4A" w:rsidRDefault="00283B4A">
            <w:pPr>
              <w:rPr>
                <w:sz w:val="8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3B4A">
        <w:trPr>
          <w:trHeight w:val="60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83B4A">
        <w:trPr>
          <w:trHeight w:val="48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283B4A">
            <w:pPr>
              <w:rPr>
                <w:sz w:val="24"/>
              </w:rPr>
            </w:pP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283B4A">
            <w:pPr>
              <w:rPr>
                <w:sz w:val="24"/>
              </w:rPr>
            </w:pPr>
          </w:p>
        </w:tc>
      </w:tr>
      <w:tr w:rsidR="00283B4A">
        <w:trPr>
          <w:trHeight w:val="22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3B4A" w:rsidRDefault="00283B4A"/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3B4A" w:rsidRDefault="00997C8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3B4A" w:rsidRDefault="00997C86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 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283B4A">
        <w:trPr>
          <w:trHeight w:val="74"/>
        </w:trPr>
        <w:tc>
          <w:tcPr>
            <w:tcW w:w="30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4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283B4A">
            <w:pPr>
              <w:rPr>
                <w:sz w:val="8"/>
              </w:rPr>
            </w:pPr>
          </w:p>
        </w:tc>
      </w:tr>
      <w:tr w:rsidR="00283B4A">
        <w:tc>
          <w:tcPr>
            <w:tcW w:w="588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B4A" w:rsidRDefault="00997C8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_____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_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3B4A" w:rsidRDefault="00283B4A"/>
        </w:tc>
      </w:tr>
      <w:tr w:rsidR="00283B4A"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3B4A" w:rsidRDefault="00283B4A"/>
        </w:tc>
      </w:tr>
    </w:tbl>
    <w:p w:rsidR="00283B4A" w:rsidRDefault="00997C8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283B4A" w:rsidRDefault="00997C86"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sectPr w:rsidR="00283B4A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4A"/>
    <w:rsid w:val="00283B4A"/>
    <w:rsid w:val="0099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1E345-9FB1-48BD-8CAE-6F078E48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vod.mfnso.ru/7199383.112134.0.904255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vod.mfnso.ru/7199383.112150.0.9029700" TargetMode="Externa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vod.mfnso.ru/7199383.112134.0.9029700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svod.mfnso.ru/7196454.111173.0.9687739" TargetMode="External"/><Relationship Id="rId10" Type="http://schemas.openxmlformats.org/officeDocument/2006/relationships/image" Target="media/image1.png"/><Relationship Id="rId4" Type="http://schemas.openxmlformats.org/officeDocument/2006/relationships/hyperlink" Target="https://svod.mfnso.ru/7196454.111144.0.9687739" TargetMode="External"/><Relationship Id="rId9" Type="http://schemas.openxmlformats.org/officeDocument/2006/relationships/hyperlink" Target="https://svod.mfnso.ru/7199383.112150.0.90425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Думченкова Анна Сергеевна</dc:creator>
  <cp:lastModifiedBy>Думченкова Анна Сергеевна</cp:lastModifiedBy>
  <cp:revision>2</cp:revision>
  <dcterms:created xsi:type="dcterms:W3CDTF">2025-03-31T04:00:00Z</dcterms:created>
  <dcterms:modified xsi:type="dcterms:W3CDTF">2025-03-31T04:00:00Z</dcterms:modified>
</cp:coreProperties>
</file>