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firstLine="0"/>
        <w:jc w:val="center"/>
        <w:spacing w:before="0"/>
        <w:rPr>
          <w:b/>
          <w:szCs w:val="28"/>
        </w:rPr>
      </w:pPr>
      <w:r>
        <w:rPr>
          <w:b/>
          <w:szCs w:val="28"/>
        </w:rPr>
        <w:t xml:space="preserve">ИЗВЕЩЕНИЕ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8"/>
        <w:ind w:firstLine="0"/>
        <w:jc w:val="center"/>
        <w:spacing w:before="0"/>
        <w:rPr>
          <w:b/>
          <w:szCs w:val="28"/>
        </w:rPr>
      </w:pPr>
      <w:r>
        <w:rPr>
          <w:b/>
          <w:szCs w:val="28"/>
        </w:rPr>
        <w:t xml:space="preserve">о проведении аукциона п</w:t>
      </w:r>
      <w:r>
        <w:rPr>
          <w:b/>
          <w:szCs w:val="28"/>
        </w:rPr>
        <w:t xml:space="preserve">о продаже муниципального имущества,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8"/>
        <w:ind w:firstLine="0"/>
        <w:jc w:val="center"/>
        <w:spacing w:before="0"/>
        <w:rPr>
          <w:b/>
          <w:szCs w:val="28"/>
        </w:rPr>
      </w:pPr>
      <w:r>
        <w:rPr>
          <w:b/>
          <w:szCs w:val="28"/>
        </w:rPr>
        <w:t xml:space="preserve">находящегося в собственности Новосибирского района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8"/>
        <w:ind w:firstLine="0"/>
        <w:jc w:val="center"/>
        <w:spacing w:before="0"/>
        <w:rPr>
          <w:b/>
          <w:szCs w:val="28"/>
        </w:rPr>
      </w:pPr>
      <w:r>
        <w:rPr>
          <w:b/>
          <w:szCs w:val="28"/>
        </w:rPr>
        <w:t xml:space="preserve">Новосибирской области в электронной форме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8"/>
        <w:ind w:firstLine="0"/>
        <w:jc w:val="center"/>
        <w:spacing w:before="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Организатор аукциона - </w:t>
      </w:r>
      <w:r>
        <w:rPr>
          <w:szCs w:val="28"/>
        </w:rPr>
        <w:t xml:space="preserve">Администрация Новосибирского района Новосибирской области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48"/>
        <w:rPr>
          <w:bCs/>
          <w:iCs/>
          <w:szCs w:val="28"/>
        </w:rPr>
      </w:pPr>
      <w:r>
        <w:rPr>
          <w:szCs w:val="28"/>
        </w:rPr>
        <w:t xml:space="preserve">Место нахождения организатора</w:t>
      </w:r>
      <w:r>
        <w:rPr>
          <w:szCs w:val="28"/>
        </w:rPr>
        <w:t xml:space="preserve"> аукциона</w:t>
      </w:r>
      <w:r>
        <w:rPr>
          <w:szCs w:val="28"/>
        </w:rPr>
        <w:t xml:space="preserve">: </w:t>
      </w:r>
      <w:r>
        <w:rPr>
          <w:bCs/>
          <w:iCs/>
          <w:szCs w:val="28"/>
        </w:rPr>
        <w:t xml:space="preserve">630007, г.</w:t>
      </w:r>
      <w:r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Новосибирск, ул.</w:t>
      </w:r>
      <w:r>
        <w:rPr>
          <w:bCs/>
          <w:iCs/>
          <w:szCs w:val="28"/>
        </w:rPr>
        <w:t xml:space="preserve"> </w:t>
      </w:r>
      <w:r>
        <w:rPr>
          <w:bCs/>
          <w:iCs/>
          <w:szCs w:val="28"/>
        </w:rPr>
        <w:t xml:space="preserve">Коммунистическая, 33а</w:t>
      </w:r>
      <w:r>
        <w:rPr>
          <w:bCs/>
          <w:iCs/>
          <w:szCs w:val="28"/>
        </w:rPr>
      </w:r>
      <w:r>
        <w:rPr>
          <w:bCs/>
          <w:iCs/>
          <w:szCs w:val="28"/>
        </w:rPr>
      </w:r>
    </w:p>
    <w:p>
      <w:pPr>
        <w:pStyle w:val="848"/>
        <w:rPr>
          <w:bCs/>
          <w:iCs/>
          <w:szCs w:val="28"/>
        </w:rPr>
      </w:pPr>
      <w:r>
        <w:rPr>
          <w:bCs/>
          <w:iCs/>
          <w:szCs w:val="28"/>
        </w:rPr>
        <w:t xml:space="preserve">Почтовый адрес, контактные телефоны: </w:t>
      </w:r>
      <w:r>
        <w:rPr>
          <w:bCs/>
          <w:iCs/>
          <w:szCs w:val="28"/>
        </w:rPr>
      </w:r>
      <w:r>
        <w:rPr>
          <w:bCs/>
          <w:iCs/>
          <w:szCs w:val="28"/>
        </w:rPr>
      </w:r>
    </w:p>
    <w:p>
      <w:pPr>
        <w:pStyle w:val="848"/>
        <w:rPr>
          <w:bCs/>
          <w:iCs/>
          <w:szCs w:val="28"/>
        </w:rPr>
      </w:pPr>
      <w:r>
        <w:rPr>
          <w:bCs/>
          <w:iCs/>
          <w:szCs w:val="28"/>
        </w:rPr>
        <w:t xml:space="preserve">630007, г. Новосибирск, ул. Коммунистическая, 33а</w:t>
      </w:r>
      <w:r>
        <w:rPr>
          <w:bCs/>
          <w:iCs/>
          <w:szCs w:val="28"/>
        </w:rPr>
        <w:t xml:space="preserve">,</w:t>
      </w:r>
      <w:r>
        <w:rPr>
          <w:bCs/>
          <w:iCs/>
          <w:szCs w:val="28"/>
        </w:rPr>
      </w:r>
      <w:r>
        <w:rPr>
          <w:bCs/>
          <w:iCs/>
          <w:szCs w:val="28"/>
        </w:rPr>
      </w:r>
    </w:p>
    <w:p>
      <w:pPr>
        <w:pStyle w:val="848"/>
        <w:rPr>
          <w:bCs/>
          <w:iCs/>
          <w:szCs w:val="28"/>
        </w:rPr>
      </w:pPr>
      <w:r>
        <w:rPr>
          <w:bCs/>
          <w:iCs/>
          <w:szCs w:val="28"/>
        </w:rPr>
        <w:t xml:space="preserve">т. 373-45-72</w:t>
      </w:r>
      <w:r>
        <w:rPr>
          <w:bCs/>
          <w:iCs/>
          <w:szCs w:val="28"/>
        </w:rPr>
      </w:r>
      <w:r>
        <w:rPr>
          <w:bCs/>
          <w:iCs/>
          <w:szCs w:val="28"/>
        </w:rPr>
      </w:r>
    </w:p>
    <w:p>
      <w:pPr>
        <w:pStyle w:val="848"/>
        <w:rPr>
          <w:b/>
          <w:szCs w:val="28"/>
        </w:rPr>
      </w:pPr>
      <w:r>
        <w:rPr>
          <w:szCs w:val="28"/>
        </w:rPr>
        <w:t xml:space="preserve">Организатор аукциона объявляет о проведении аукциона </w:t>
      </w:r>
      <w:r>
        <w:rPr>
          <w:szCs w:val="28"/>
        </w:rPr>
        <w:t xml:space="preserve">по продаже объекта: </w:t>
      </w:r>
      <w:r>
        <w:rPr>
          <w:b/>
          <w:bCs/>
          <w:sz w:val="28"/>
        </w:rPr>
        <w:t xml:space="preserve">Здание Детского сада № 115 «Белочка»</w:t>
      </w:r>
      <w:r>
        <w:rPr>
          <w:b/>
          <w:bCs/>
          <w:sz w:val="28"/>
          <w:szCs w:val="28"/>
        </w:rPr>
        <w:t xml:space="preserve">, площадь: 413,3 кв.м, по адресу: </w:t>
      </w:r>
      <w:r>
        <w:rPr>
          <w:b/>
          <w:bCs/>
          <w:sz w:val="28"/>
        </w:rPr>
        <w:t xml:space="preserve">Новосибирская область, Новосибирский район, </w:t>
      </w:r>
      <w:r>
        <w:rPr>
          <w:b/>
          <w:bCs/>
          <w:sz w:val="28"/>
        </w:rPr>
        <w:t xml:space="preserve">с/с Новолуговской, с. Новолуговое, ул. Военный городок, д. 141</w:t>
      </w:r>
      <w:r>
        <w:rPr>
          <w:b/>
          <w:bCs/>
          <w:sz w:val="28"/>
          <w:szCs w:val="28"/>
        </w:rPr>
        <w:t xml:space="preserve">. Кадастровый номер </w:t>
      </w:r>
      <w:r>
        <w:rPr>
          <w:b/>
          <w:bCs/>
          <w:sz w:val="28"/>
          <w:szCs w:val="28"/>
        </w:rPr>
        <w:t xml:space="preserve">54:19:150101:423</w:t>
      </w:r>
      <w:r>
        <w:rPr>
          <w:b/>
          <w:szCs w:val="28"/>
        </w:rPr>
        <w:t xml:space="preserve">.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8"/>
        <w:spacing w:before="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t xml:space="preserve">Начальная цена с НДС</w:t>
      </w:r>
      <w:r>
        <w:rPr>
          <w:color w:val="000000" w:themeColor="text1"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3 453 679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(Три миллиона четыреста пятьдесят три тысячи шестьсот семьдесят девять) рублей 00 копеек.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48"/>
        <w:spacing w:before="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t xml:space="preserve">Шаг аукциона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172 683 (Сто семьдесят две тысячи шестьсот восемьдесят три) рубля 95 копеек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48"/>
        <w:spacing w:before="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t xml:space="preserve">Сумма задатка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sz w:val="28"/>
          <w:szCs w:val="28"/>
        </w:rPr>
        <w:t xml:space="preserve">345 367</w:t>
      </w:r>
      <w:r>
        <w:rPr>
          <w:color w:val="000000" w:themeColor="text1"/>
          <w:sz w:val="28"/>
          <w:szCs w:val="28"/>
        </w:rPr>
        <w:t xml:space="preserve"> (Триста сорок пять тысяч триста шестьдесят семь) рублей 90 копеек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68"/>
        <w:ind w:firstLine="720"/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 расположено на земельном участке: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Кадастровый (или условный) номер земельного участка: </w:t>
      </w:r>
      <w:r>
        <w:t xml:space="preserve">54:19:142701:247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Площадь земельного участка – </w:t>
      </w:r>
      <w:r>
        <w:rPr>
          <w:sz w:val="28"/>
          <w:szCs w:val="28"/>
        </w:rPr>
        <w:t xml:space="preserve">2 602</w:t>
      </w:r>
      <w:r>
        <w:rPr>
          <w:szCs w:val="28"/>
        </w:rPr>
        <w:t xml:space="preserve"> </w:t>
      </w:r>
      <w:r>
        <w:rPr>
          <w:szCs w:val="28"/>
        </w:rPr>
        <w:t xml:space="preserve">кв.м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Категория земель:</w:t>
      </w:r>
      <w:r/>
      <w:r>
        <w:rPr>
          <w:sz w:val="28"/>
          <w:szCs w:val="28"/>
        </w:rPr>
        <w:t xml:space="preserve"> Земли промышленности, энергетики, транспорта, связи, радиовещания, телевидения, информатики, земли </w:t>
      </w:r>
      <w:r>
        <w:rPr>
          <w:sz w:val="28"/>
          <w:szCs w:val="28"/>
        </w:rPr>
        <w:t xml:space="preserve">для обеспечения космической деятельности, земли обороны, безопасности и земли иного специального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 w:val="28"/>
          <w:szCs w:val="28"/>
        </w:rPr>
        <w:t xml:space="preserve">Вид разрешенного использования: для производственных нужд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Цена земельного участка (без НДС)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1 306 204</w:t>
      </w:r>
      <w:r>
        <w:rPr>
          <w:sz w:val="28"/>
          <w:szCs w:val="28"/>
        </w:rPr>
        <w:t xml:space="preserve"> (Один миллион триста шесть тысяч двести четыре) рублей 00 копеек</w:t>
      </w:r>
      <w: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spacing w:before="0"/>
        <w:rPr>
          <w:b/>
          <w:szCs w:val="28"/>
        </w:rPr>
      </w:pPr>
      <w:r>
        <w:rPr>
          <w:b/>
          <w:szCs w:val="28"/>
        </w:rPr>
        <w:t xml:space="preserve">Победитель аукциона</w:t>
      </w:r>
      <w:r>
        <w:rPr>
          <w:b/>
          <w:szCs w:val="28"/>
        </w:rPr>
        <w:t xml:space="preserve">, </w:t>
      </w:r>
      <w:r>
        <w:rPr>
          <w:rFonts w:eastAsia="Calibri"/>
          <w:b/>
          <w:szCs w:val="28"/>
          <w:lang w:eastAsia="en-US"/>
        </w:rPr>
        <w:t xml:space="preserve">лицо, признанное единственным участником аукциона</w:t>
      </w:r>
      <w:r>
        <w:rPr>
          <w:b/>
          <w:szCs w:val="28"/>
        </w:rPr>
        <w:t xml:space="preserve">, обязан оплатить стоимость земельного участка по цене – </w:t>
      </w:r>
      <w:r>
        <w:rPr>
          <w:sz w:val="28"/>
          <w:szCs w:val="28"/>
        </w:rPr>
        <w:t xml:space="preserve">1 306 204</w:t>
      </w:r>
      <w:r>
        <w:rPr>
          <w:sz w:val="28"/>
          <w:szCs w:val="28"/>
        </w:rPr>
        <w:t xml:space="preserve"> (Один миллион триста шесть тысяч двести четыре) рублей 00 копеек</w:t>
      </w:r>
      <w:r>
        <w:t xml:space="preserve">.</w:t>
      </w:r>
      <w:r/>
      <w:r>
        <w:rPr>
          <w:b/>
          <w:szCs w:val="28"/>
        </w:rPr>
      </w:r>
      <w:r>
        <w:rPr>
          <w:b/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Аукцион состоится </w:t>
      </w:r>
      <w:r>
        <w:rPr>
          <w:b/>
          <w:bCs/>
          <w:szCs w:val="28"/>
        </w:rPr>
        <w:t xml:space="preserve">«27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июля </w:t>
      </w:r>
      <w:r>
        <w:rPr>
          <w:b/>
          <w:bCs/>
          <w:szCs w:val="28"/>
        </w:rPr>
        <w:t xml:space="preserve">20</w:t>
      </w:r>
      <w:r>
        <w:rPr>
          <w:b/>
          <w:bCs/>
          <w:szCs w:val="28"/>
        </w:rPr>
        <w:t xml:space="preserve">2</w:t>
      </w:r>
      <w:r>
        <w:rPr>
          <w:b/>
          <w:bCs/>
          <w:szCs w:val="28"/>
        </w:rPr>
        <w:t xml:space="preserve">5 г.</w:t>
      </w:r>
      <w:r>
        <w:rPr>
          <w:szCs w:val="28"/>
        </w:rPr>
        <w:t xml:space="preserve"> в </w:t>
      </w:r>
      <w:r>
        <w:rPr>
          <w:szCs w:val="28"/>
        </w:rPr>
        <w:t xml:space="preserve">10</w:t>
      </w:r>
      <w:r>
        <w:rPr>
          <w:szCs w:val="28"/>
        </w:rPr>
        <w:t xml:space="preserve">:</w:t>
      </w:r>
      <w:r>
        <w:rPr>
          <w:szCs w:val="28"/>
        </w:rPr>
        <w:t xml:space="preserve">00</w:t>
      </w:r>
      <w:r>
        <w:rPr>
          <w:szCs w:val="28"/>
        </w:rPr>
        <w:t xml:space="preserve"> по московскому времени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Дата начала приема заявок с </w:t>
      </w:r>
      <w:r>
        <w:rPr>
          <w:b/>
          <w:bCs/>
          <w:szCs w:val="28"/>
        </w:rPr>
        <w:t xml:space="preserve">«</w:t>
      </w:r>
      <w:r>
        <w:rPr>
          <w:b/>
          <w:bCs/>
          <w:szCs w:val="28"/>
        </w:rPr>
        <w:t xml:space="preserve">27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июня </w:t>
      </w:r>
      <w:r>
        <w:rPr>
          <w:b/>
          <w:bCs/>
          <w:szCs w:val="28"/>
        </w:rPr>
        <w:t xml:space="preserve">20</w:t>
      </w:r>
      <w:r>
        <w:rPr>
          <w:b/>
          <w:bCs/>
          <w:szCs w:val="28"/>
        </w:rPr>
        <w:t xml:space="preserve">2</w:t>
      </w:r>
      <w:r>
        <w:rPr>
          <w:b/>
          <w:bCs/>
          <w:szCs w:val="28"/>
        </w:rPr>
        <w:t xml:space="preserve">5 г.</w:t>
      </w:r>
      <w:r>
        <w:rPr>
          <w:szCs w:val="28"/>
        </w:rPr>
        <w:t xml:space="preserve"> с </w:t>
      </w:r>
      <w:r>
        <w:rPr>
          <w:szCs w:val="28"/>
        </w:rPr>
        <w:t xml:space="preserve">10</w:t>
      </w:r>
      <w:r>
        <w:rPr>
          <w:szCs w:val="28"/>
        </w:rPr>
        <w:t xml:space="preserve">:</w:t>
      </w:r>
      <w:r>
        <w:rPr>
          <w:szCs w:val="28"/>
        </w:rPr>
        <w:t xml:space="preserve">00</w:t>
      </w:r>
      <w:r>
        <w:rPr>
          <w:szCs w:val="28"/>
        </w:rPr>
        <w:t xml:space="preserve"> по московскому времени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Дата окончания приема заявок </w:t>
      </w:r>
      <w:r>
        <w:rPr>
          <w:b/>
          <w:bCs/>
          <w:szCs w:val="28"/>
        </w:rPr>
        <w:t xml:space="preserve">«22</w:t>
      </w:r>
      <w:bookmarkStart w:id="0" w:name="_GoBack"/>
      <w:r>
        <w:rPr>
          <w:b/>
          <w:bCs/>
        </w:rPr>
      </w:r>
      <w:bookmarkEnd w:id="0"/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июля </w:t>
      </w:r>
      <w:r>
        <w:rPr>
          <w:b/>
          <w:bCs/>
          <w:szCs w:val="28"/>
        </w:rPr>
        <w:t xml:space="preserve">20</w:t>
      </w:r>
      <w:r>
        <w:rPr>
          <w:b/>
          <w:bCs/>
          <w:szCs w:val="28"/>
        </w:rPr>
        <w:t xml:space="preserve">2</w:t>
      </w:r>
      <w:r>
        <w:rPr>
          <w:b/>
          <w:bCs/>
          <w:szCs w:val="28"/>
        </w:rPr>
        <w:t xml:space="preserve">5 г.</w:t>
      </w:r>
      <w:r>
        <w:rPr>
          <w:szCs w:val="28"/>
        </w:rPr>
        <w:t xml:space="preserve"> до </w:t>
      </w:r>
      <w:r>
        <w:rPr>
          <w:szCs w:val="28"/>
        </w:rPr>
        <w:t xml:space="preserve">10</w:t>
      </w:r>
      <w:r>
        <w:rPr>
          <w:szCs w:val="28"/>
        </w:rPr>
        <w:t xml:space="preserve">:</w:t>
      </w:r>
      <w:r>
        <w:rPr>
          <w:szCs w:val="28"/>
        </w:rPr>
        <w:t xml:space="preserve">00</w:t>
      </w:r>
      <w:r>
        <w:rPr>
          <w:szCs w:val="28"/>
        </w:rPr>
        <w:t xml:space="preserve"> по </w:t>
      </w:r>
      <w:r>
        <w:rPr>
          <w:szCs w:val="28"/>
        </w:rPr>
        <w:t xml:space="preserve">московскому</w:t>
      </w:r>
      <w:r>
        <w:rPr>
          <w:szCs w:val="28"/>
        </w:rPr>
        <w:t xml:space="preserve"> времени.</w:t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С информацией о выставленных на торги объектах недвижимости можно ознакомиться на сайте администрации Новосибирского района Новосибирской области </w:t>
      </w:r>
      <w:r>
        <w:rPr>
          <w:szCs w:val="28"/>
          <w:u w:val="single"/>
        </w:rPr>
        <w:t xml:space="preserve">http://nsr.nso.ru/</w:t>
      </w:r>
      <w:r>
        <w:rPr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 r:id="rId10" w:tooltip="http://www.torgi.gov.ru/new" w:history="1">
        <w:r>
          <w:rPr>
            <w:rStyle w:val="853"/>
            <w:szCs w:val="28"/>
          </w:rPr>
          <w:t xml:space="preserve">www.torgi.gov.ru/</w:t>
        </w:r>
        <w:r>
          <w:rPr>
            <w:rStyle w:val="853"/>
            <w:szCs w:val="28"/>
            <w:lang w:val="en-US"/>
          </w:rPr>
          <w:t xml:space="preserve">new</w:t>
        </w:r>
      </w:hyperlink>
      <w:r>
        <w:rPr>
          <w:szCs w:val="28"/>
        </w:rPr>
        <w:t xml:space="preserve">, а также на официальном сайте Организатора электронных торгов </w:t>
      </w:r>
      <w:hyperlink r:id="rId11" w:tooltip="http://www.rts-tender.ru" w:history="1">
        <w:r>
          <w:rPr>
            <w:rStyle w:val="853"/>
            <w:szCs w:val="28"/>
          </w:rPr>
          <w:t xml:space="preserve">www.rts-tender.ru</w:t>
        </w:r>
      </w:hyperlink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48"/>
        <w:rPr>
          <w:szCs w:val="28"/>
        </w:rPr>
      </w:pPr>
      <w:r>
        <w:rPr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>
        <w:rPr>
          <w:szCs w:val="28"/>
        </w:rPr>
      </w:r>
      <w:r>
        <w:rPr>
          <w:szCs w:val="28"/>
        </w:rPr>
      </w:r>
    </w:p>
    <w:p>
      <w:pPr>
        <w:pStyle w:val="848"/>
        <w:rPr>
          <w:szCs w:val="28"/>
        </w:rPr>
      </w:pPr>
      <w:r>
        <w:rPr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  <w:r>
        <w:rPr>
          <w:szCs w:val="28"/>
        </w:rPr>
      </w:r>
      <w:r>
        <w:rPr>
          <w:szCs w:val="28"/>
        </w:rPr>
      </w:r>
    </w:p>
    <w:p>
      <w:pPr>
        <w:pStyle w:val="848"/>
        <w:rPr>
          <w:szCs w:val="28"/>
        </w:rPr>
      </w:pPr>
      <w:r>
        <w:rPr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  <w:t xml:space="preserve">По вопросам осмотра Объекта, иными сведениями об объекте, правилами проведения торгов, можно ознакомиться по адресу: Коммунистическая, 33а, ка.102. Контактный телефон: 373-46-07.</w:t>
      </w:r>
      <w:r>
        <w:rPr>
          <w:szCs w:val="28"/>
        </w:rPr>
      </w:r>
      <w:r>
        <w:rPr>
          <w:szCs w:val="28"/>
        </w:rPr>
      </w:r>
    </w:p>
    <w:p>
      <w:pPr>
        <w:pStyle w:val="848"/>
        <w:rPr>
          <w:szCs w:val="28"/>
        </w:rPr>
      </w:pPr>
      <w:r>
        <w:rPr>
          <w:szCs w:val="28"/>
        </w:rPr>
        <w:t xml:space="preserve">Ограничения для участия в аукционе отсутствуют, если претендент не относится к категории лиц, права которых на участие в приватизации муниципаль</w:t>
      </w:r>
      <w:r>
        <w:rPr>
          <w:szCs w:val="28"/>
        </w:rPr>
        <w:t xml:space="preserve">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7" w:h="16840" w:orient="portrait"/>
      <w:pgMar w:top="851" w:right="567" w:bottom="709" w:left="96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ymbolPS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hint="default" w:ascii="SymbolPS" w:hAnsi="SymbolP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1170"/>
        <w:tabs>
          <w:tab w:val="num" w:pos="117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79" w:hanging="1170"/>
        <w:tabs>
          <w:tab w:val="num" w:pos="1879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88" w:hanging="1170"/>
        <w:tabs>
          <w:tab w:val="num" w:pos="2588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97" w:hanging="1170"/>
        <w:tabs>
          <w:tab w:val="num" w:pos="3297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06" w:hanging="1170"/>
        <w:tabs>
          <w:tab w:val="num" w:pos="4006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5" w:hanging="1170"/>
        <w:tabs>
          <w:tab w:val="num" w:pos="4715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  <w:rPr>
        <w:rFonts w:hint="default"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3"/>
    <w:link w:val="841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0"/>
    <w:next w:val="840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3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3"/>
    <w:link w:val="671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843"/>
    <w:link w:val="84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character" w:styleId="694">
    <w:name w:val="Footer Char"/>
    <w:basedOn w:val="843"/>
    <w:link w:val="868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68"/>
    <w:uiPriority w:val="99"/>
  </w:style>
  <w:style w:type="table" w:styleId="697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3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841">
    <w:name w:val="Heading 1"/>
    <w:basedOn w:val="840"/>
    <w:next w:val="840"/>
    <w:link w:val="846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42">
    <w:name w:val="Heading 4"/>
    <w:basedOn w:val="840"/>
    <w:next w:val="840"/>
    <w:link w:val="847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1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847" w:customStyle="1">
    <w:name w:val="Заголовок 4 Знак"/>
    <w:basedOn w:val="843"/>
    <w:link w:val="842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848" w:customStyle="1">
    <w:name w:val="стандарт1"/>
    <w:basedOn w:val="859"/>
    <w:pPr>
      <w:ind w:left="0" w:firstLine="709"/>
      <w:jc w:val="both"/>
      <w:spacing w:before="120"/>
    </w:pPr>
    <w:rPr>
      <w:sz w:val="28"/>
    </w:rPr>
  </w:style>
  <w:style w:type="paragraph" w:styleId="849">
    <w:name w:val="Body Text Indent 2"/>
    <w:basedOn w:val="840"/>
    <w:link w:val="850"/>
    <w:uiPriority w:val="99"/>
    <w:pPr>
      <w:ind w:firstLine="708"/>
      <w:jc w:val="both"/>
    </w:pPr>
    <w:rPr>
      <w:sz w:val="28"/>
    </w:rPr>
  </w:style>
  <w:style w:type="character" w:styleId="850" w:customStyle="1">
    <w:name w:val="Основной текст с отступом 2 Знак"/>
    <w:basedOn w:val="843"/>
    <w:link w:val="84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1">
    <w:name w:val="Body Text Indent"/>
    <w:basedOn w:val="840"/>
    <w:link w:val="852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52" w:customStyle="1">
    <w:name w:val="Основной текст с отступом Знак"/>
    <w:basedOn w:val="843"/>
    <w:link w:val="851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853">
    <w:name w:val="Hyperlink"/>
    <w:basedOn w:val="843"/>
    <w:uiPriority w:val="99"/>
    <w:rPr>
      <w:rFonts w:cs="Times New Roman"/>
      <w:color w:val="0000ff"/>
      <w:u w:val="single"/>
    </w:rPr>
  </w:style>
  <w:style w:type="paragraph" w:styleId="854">
    <w:name w:val="Body Text"/>
    <w:basedOn w:val="840"/>
    <w:link w:val="855"/>
    <w:uiPriority w:val="99"/>
    <w:pPr>
      <w:spacing w:after="120"/>
    </w:pPr>
  </w:style>
  <w:style w:type="character" w:styleId="855" w:customStyle="1">
    <w:name w:val="Основной текст Знак"/>
    <w:basedOn w:val="843"/>
    <w:link w:val="85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6" w:customStyle="1">
    <w:name w:val="Наш заголовок"/>
    <w:basedOn w:val="840"/>
    <w:pPr>
      <w:jc w:val="center"/>
      <w:keepNext/>
      <w:spacing w:before="240" w:after="120"/>
      <w:widowControl w:val="off"/>
    </w:pPr>
    <w:rPr>
      <w:b/>
      <w:caps/>
      <w:sz w:val="24"/>
    </w:rPr>
  </w:style>
  <w:style w:type="paragraph" w:styleId="857">
    <w:name w:val="Body Text 2"/>
    <w:basedOn w:val="840"/>
    <w:link w:val="858"/>
    <w:uiPriority w:val="99"/>
    <w:pPr>
      <w:spacing w:after="120" w:line="480" w:lineRule="auto"/>
    </w:pPr>
  </w:style>
  <w:style w:type="character" w:styleId="858" w:customStyle="1">
    <w:name w:val="Основной текст 2 Знак"/>
    <w:basedOn w:val="843"/>
    <w:link w:val="857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9">
    <w:name w:val="Normal Indent"/>
    <w:basedOn w:val="840"/>
    <w:uiPriority w:val="99"/>
    <w:semiHidden/>
    <w:pPr>
      <w:ind w:left="708"/>
    </w:pPr>
  </w:style>
  <w:style w:type="paragraph" w:styleId="860">
    <w:name w:val="List Paragraph"/>
    <w:basedOn w:val="840"/>
    <w:uiPriority w:val="99"/>
    <w:qFormat/>
    <w:pPr>
      <w:contextualSpacing/>
      <w:ind w:left="720"/>
    </w:pPr>
  </w:style>
  <w:style w:type="paragraph" w:styleId="861">
    <w:name w:val="No Spacing"/>
    <w:uiPriority w:val="99"/>
    <w:qFormat/>
    <w:rPr>
      <w:rFonts w:ascii="Times New Roman" w:hAnsi="Times New Roman" w:eastAsia="Times New Roman"/>
      <w:sz w:val="20"/>
      <w:szCs w:val="20"/>
    </w:rPr>
  </w:style>
  <w:style w:type="paragraph" w:styleId="862">
    <w:name w:val="Balloon Text"/>
    <w:basedOn w:val="840"/>
    <w:link w:val="863"/>
    <w:uiPriority w:val="99"/>
    <w:semiHidden/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43"/>
    <w:link w:val="862"/>
    <w:uiPriority w:val="99"/>
    <w:semiHidden/>
    <w:rPr>
      <w:rFonts w:ascii="Times New Roman" w:hAnsi="Times New Roman" w:cs="Times New Roman"/>
      <w:sz w:val="2"/>
    </w:rPr>
  </w:style>
  <w:style w:type="paragraph" w:styleId="864" w:customStyle="1">
    <w:name w:val="ConsPlusNormal"/>
    <w:rPr>
      <w:rFonts w:ascii="Times New Roman" w:hAnsi="Times New Roman"/>
    </w:rPr>
  </w:style>
  <w:style w:type="paragraph" w:styleId="865" w:customStyle="1">
    <w:name w:val="Обычный1"/>
    <w:pPr>
      <w:ind w:left="80" w:firstLine="740"/>
      <w:jc w:val="both"/>
      <w:spacing w:line="340" w:lineRule="auto"/>
      <w:widowControl w:val="off"/>
    </w:pPr>
    <w:rPr>
      <w:rFonts w:ascii="Times New Roman" w:hAnsi="Times New Roman" w:eastAsia="Times New Roman"/>
      <w:sz w:val="20"/>
      <w:szCs w:val="20"/>
    </w:rPr>
  </w:style>
  <w:style w:type="paragraph" w:styleId="866" w:customStyle="1">
    <w:name w:val="Абзац списка1"/>
    <w:basedOn w:val="840"/>
    <w:pPr>
      <w:contextualSpacing/>
      <w:ind w:left="720"/>
    </w:pPr>
  </w:style>
  <w:style w:type="character" w:styleId="867">
    <w:name w:val="FollowedHyperlink"/>
    <w:basedOn w:val="843"/>
    <w:uiPriority w:val="99"/>
    <w:semiHidden/>
    <w:unhideWhenUsed/>
    <w:rPr>
      <w:color w:val="800080" w:themeColor="followedHyperlink"/>
      <w:u w:val="single"/>
    </w:rPr>
  </w:style>
  <w:style w:type="paragraph" w:styleId="868">
    <w:name w:val="Footer"/>
    <w:basedOn w:val="840"/>
    <w:link w:val="869"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43"/>
    <w:link w:val="868"/>
    <w:rPr>
      <w:rFonts w:ascii="Times New Roman" w:hAnsi="Times New Roman" w:eastAsia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torgi.gov.ru/new" TargetMode="External"/><Relationship Id="rId11" Type="http://schemas.openxmlformats.org/officeDocument/2006/relationships/hyperlink" Target="http://www.rts-tend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B49A-A53B-4A79-BAF2-273DBB44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eadonina</dc:creator>
  <cp:revision>14</cp:revision>
  <dcterms:created xsi:type="dcterms:W3CDTF">2022-02-04T04:15:00Z</dcterms:created>
  <dcterms:modified xsi:type="dcterms:W3CDTF">2025-06-26T07:04:57Z</dcterms:modified>
</cp:coreProperties>
</file>