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июле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/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июле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239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377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191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е)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219/</w:t>
      </w:r>
      <w:r>
        <w:rPr>
          <w:rFonts w:ascii="Times New Roman" w:hAnsi="Times New Roman" w:cs="Times New Roman"/>
          <w:sz w:val="28"/>
          <w:szCs w:val="28"/>
        </w:rPr>
        <w:t xml:space="preserve">361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</w:t>
      </w:r>
      <w:r>
        <w:rPr>
          <w:rFonts w:ascii="Times New Roman" w:hAnsi="Times New Roman" w:cs="Times New Roman"/>
          <w:i/>
          <w:sz w:val="28"/>
          <w:szCs w:val="28"/>
        </w:rPr>
        <w:t xml:space="preserve">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176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66/</w:t>
      </w:r>
      <w:r>
        <w:rPr>
          <w:rFonts w:ascii="Times New Roman" w:hAnsi="Times New Roman" w:cs="Times New Roman"/>
          <w:b/>
          <w:sz w:val="28"/>
          <w:szCs w:val="28"/>
        </w:rPr>
        <w:t xml:space="preserve">102.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54/</w:t>
      </w:r>
      <w:r>
        <w:rPr>
          <w:rFonts w:ascii="Times New Roman" w:hAnsi="Times New Roman" w:cs="Times New Roman"/>
          <w:b/>
          <w:sz w:val="28"/>
          <w:szCs w:val="28"/>
        </w:rPr>
        <w:t xml:space="preserve">132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42)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9)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/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196 </w:t>
      </w:r>
      <w:r>
        <w:rPr>
          <w:rFonts w:ascii="Times New Roman" w:hAnsi="Times New Roman" w:cs="Times New Roman"/>
          <w:sz w:val="28"/>
          <w:szCs w:val="28"/>
        </w:rPr>
        <w:t xml:space="preserve">(90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(июне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346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</w:t>
      </w:r>
      <w:r>
        <w:rPr>
          <w:rFonts w:ascii="Times New Roman" w:hAnsi="Times New Roman" w:cs="Times New Roman"/>
          <w:i/>
          <w:sz w:val="28"/>
          <w:szCs w:val="28"/>
        </w:rPr>
        <w:t xml:space="preserve">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155)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7%)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июне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11)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июне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(менее 1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219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ях и запросах</w:t>
      </w:r>
      <w:r>
        <w:rPr>
          <w:rFonts w:ascii="Times New Roman" w:hAnsi="Times New Roman" w:cs="Times New Roman"/>
          <w:sz w:val="28"/>
          <w:szCs w:val="28"/>
        </w:rPr>
        <w:t xml:space="preserve"> содержится </w:t>
      </w:r>
      <w:r>
        <w:rPr>
          <w:rFonts w:ascii="Times New Roman" w:hAnsi="Times New Roman" w:cs="Times New Roman"/>
          <w:sz w:val="28"/>
          <w:szCs w:val="28"/>
        </w:rPr>
        <w:t xml:space="preserve">231 вопрос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щийся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5%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июнь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10%)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13,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26)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(июль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i/>
          <w:sz w:val="28"/>
          <w:szCs w:val="28"/>
        </w:rPr>
        <w:t xml:space="preserve">июнь </w:t>
      </w:r>
      <w:r>
        <w:rPr>
          <w:rFonts w:ascii="Times New Roman" w:hAnsi="Times New Roman" w:cs="Times New Roman"/>
          <w:i/>
          <w:sz w:val="28"/>
          <w:szCs w:val="28"/>
        </w:rPr>
        <w:t xml:space="preserve">2023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11),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10/</w:t>
      </w:r>
      <w:r>
        <w:rPr>
          <w:rFonts w:ascii="Times New Roman" w:hAnsi="Times New Roman" w:cs="Times New Roman"/>
          <w:sz w:val="28"/>
          <w:szCs w:val="28"/>
        </w:rPr>
        <w:t xml:space="preserve">3,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июль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</w:t>
      </w:r>
      <w:r>
        <w:rPr>
          <w:rFonts w:ascii="Times New Roman" w:hAnsi="Times New Roman" w:cs="Times New Roman"/>
          <w:sz w:val="28"/>
          <w:szCs w:val="28"/>
        </w:rPr>
        <w:t xml:space="preserve">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защиты пострадавших от чрезвычайных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/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144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(62%),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</w:t>
      </w:r>
      <w:r>
        <w:rPr>
          <w:rFonts w:ascii="Times New Roman" w:hAnsi="Times New Roman" w:cs="Times New Roman"/>
          <w:i/>
          <w:sz w:val="28"/>
          <w:szCs w:val="28"/>
        </w:rPr>
        <w:t xml:space="preserve">92,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133)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33%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76/</w:t>
      </w:r>
      <w:r>
        <w:rPr>
          <w:rFonts w:ascii="Times New Roman" w:hAnsi="Times New Roman" w:cs="Times New Roman"/>
          <w:i/>
          <w:sz w:val="28"/>
          <w:szCs w:val="28"/>
        </w:rPr>
        <w:t xml:space="preserve">91 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60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61/</w:t>
      </w:r>
      <w:r>
        <w:rPr>
          <w:rFonts w:ascii="Times New Roman" w:hAnsi="Times New Roman" w:cs="Times New Roman"/>
          <w:sz w:val="28"/>
          <w:szCs w:val="28"/>
        </w:rPr>
        <w:t xml:space="preserve">97,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26%)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72)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7/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7/</w:t>
      </w:r>
      <w:r>
        <w:rPr>
          <w:rFonts w:ascii="Times New Roman" w:hAnsi="Times New Roman" w:cs="Times New Roman"/>
          <w:sz w:val="28"/>
          <w:szCs w:val="28"/>
        </w:rPr>
        <w:t xml:space="preserve">5 (</w:t>
      </w:r>
      <w:r>
        <w:rPr>
          <w:rFonts w:ascii="Times New Roman" w:hAnsi="Times New Roman" w:cs="Times New Roman"/>
          <w:sz w:val="28"/>
          <w:szCs w:val="28"/>
        </w:rPr>
        <w:t xml:space="preserve">3%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</w:t>
      </w:r>
      <w:r>
        <w:rPr>
          <w:rFonts w:ascii="Times New Roman" w:hAnsi="Times New Roman" w:cs="Times New Roman"/>
          <w:i/>
          <w:sz w:val="28"/>
          <w:szCs w:val="28"/>
        </w:rPr>
        <w:t xml:space="preserve">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45/</w:t>
      </w:r>
      <w:r>
        <w:rPr>
          <w:rFonts w:ascii="Times New Roman" w:hAnsi="Times New Roman" w:cs="Times New Roman"/>
          <w:sz w:val="28"/>
          <w:szCs w:val="28"/>
        </w:rPr>
        <w:t xml:space="preserve">161 </w:t>
      </w:r>
      <w:r>
        <w:rPr>
          <w:rFonts w:ascii="Times New Roman" w:hAnsi="Times New Roman" w:cs="Times New Roman"/>
          <w:sz w:val="28"/>
          <w:szCs w:val="28"/>
        </w:rPr>
        <w:t xml:space="preserve">(19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37)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41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152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4/</w:t>
      </w:r>
      <w:r>
        <w:rPr>
          <w:rFonts w:ascii="Times New Roman" w:hAnsi="Times New Roman" w:cs="Times New Roman"/>
          <w:sz w:val="28"/>
          <w:szCs w:val="28"/>
        </w:rPr>
        <w:t xml:space="preserve">9.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92%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47 </w:t>
      </w:r>
      <w:r>
        <w:rPr>
          <w:rFonts w:ascii="Times New Roman" w:hAnsi="Times New Roman" w:cs="Times New Roman"/>
          <w:sz w:val="28"/>
          <w:szCs w:val="28"/>
        </w:rPr>
        <w:t xml:space="preserve">(21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/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/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ремонта дорог</w:t>
      </w:r>
      <w:r>
        <w:rPr>
          <w:rFonts w:ascii="Times New Roman" w:hAnsi="Times New Roman" w:cs="Times New Roman"/>
          <w:sz w:val="28"/>
          <w:szCs w:val="28"/>
        </w:rPr>
        <w:t xml:space="preserve">, комплексного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71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1"/>
    <w:next w:val="71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1"/>
    <w:next w:val="71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1"/>
    <w:next w:val="7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1"/>
    <w:next w:val="71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11"/>
    <w:next w:val="7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2"/>
    <w:link w:val="34"/>
    <w:uiPriority w:val="10"/>
    <w:rPr>
      <w:sz w:val="48"/>
      <w:szCs w:val="48"/>
    </w:rPr>
  </w:style>
  <w:style w:type="paragraph" w:styleId="36">
    <w:name w:val="Subtitle"/>
    <w:basedOn w:val="711"/>
    <w:next w:val="7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2"/>
    <w:link w:val="36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2"/>
    <w:link w:val="718"/>
    <w:uiPriority w:val="99"/>
  </w:style>
  <w:style w:type="character" w:styleId="45">
    <w:name w:val="Footer Char"/>
    <w:basedOn w:val="712"/>
    <w:link w:val="720"/>
    <w:uiPriority w:val="99"/>
  </w:style>
  <w:style w:type="paragraph" w:styleId="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0"/>
    <w:uiPriority w:val="99"/>
  </w:style>
  <w:style w:type="table" w:styleId="4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2"/>
    <w:uiPriority w:val="99"/>
    <w:unhideWhenUsed/>
    <w:rPr>
      <w:vertAlign w:val="superscript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2"/>
    <w:uiPriority w:val="99"/>
    <w:semiHidden/>
    <w:unhideWhenUsed/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paragraph" w:styleId="715">
    <w:name w:val="List Paragraph"/>
    <w:basedOn w:val="711"/>
    <w:uiPriority w:val="34"/>
    <w:qFormat/>
    <w:pPr>
      <w:contextualSpacing/>
      <w:ind w:left="720"/>
    </w:pPr>
  </w:style>
  <w:style w:type="paragraph" w:styleId="716">
    <w:name w:val="Balloon Text"/>
    <w:basedOn w:val="711"/>
    <w:link w:val="71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17" w:customStyle="1">
    <w:name w:val="Текст выноски Знак"/>
    <w:basedOn w:val="712"/>
    <w:link w:val="716"/>
    <w:uiPriority w:val="99"/>
    <w:semiHidden/>
    <w:rPr>
      <w:rFonts w:ascii="Segoe UI" w:hAnsi="Segoe UI" w:cs="Segoe UI"/>
      <w:sz w:val="18"/>
      <w:szCs w:val="18"/>
    </w:rPr>
  </w:style>
  <w:style w:type="paragraph" w:styleId="718">
    <w:name w:val="Header"/>
    <w:basedOn w:val="711"/>
    <w:link w:val="7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9" w:customStyle="1">
    <w:name w:val="Верхний колонтитул Знак"/>
    <w:basedOn w:val="712"/>
    <w:link w:val="718"/>
    <w:uiPriority w:val="99"/>
  </w:style>
  <w:style w:type="paragraph" w:styleId="720">
    <w:name w:val="Footer"/>
    <w:basedOn w:val="711"/>
    <w:link w:val="7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1" w:customStyle="1">
    <w:name w:val="Нижний колонтитул Знак"/>
    <w:basedOn w:val="712"/>
    <w:link w:val="720"/>
    <w:uiPriority w:val="99"/>
  </w:style>
  <w:style w:type="table" w:styleId="722">
    <w:name w:val="Table Grid"/>
    <w:basedOn w:val="713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3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724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725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726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C0F6-324E-4855-A537-0C8FD6E9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138</cp:revision>
  <dcterms:created xsi:type="dcterms:W3CDTF">2019-08-02T04:06:00Z</dcterms:created>
  <dcterms:modified xsi:type="dcterms:W3CDTF">2023-10-10T02:49:13Z</dcterms:modified>
</cp:coreProperties>
</file>