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феврале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244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279,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163 обращени</w:t>
      </w:r>
      <w:r>
        <w:rPr>
          <w:rFonts w:ascii="Times New Roman" w:hAnsi="Times New Roman" w:cs="Times New Roman"/>
          <w:sz w:val="28"/>
          <w:szCs w:val="28"/>
        </w:rPr>
        <w:t xml:space="preserve">я)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212/159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февраль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149)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80/</w:t>
      </w:r>
      <w:r>
        <w:rPr>
          <w:rFonts w:ascii="Times New Roman" w:hAnsi="Times New Roman" w:cs="Times New Roman"/>
          <w:b/>
          <w:sz w:val="28"/>
          <w:szCs w:val="28"/>
        </w:rPr>
        <w:t xml:space="preserve">79.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53/</w:t>
      </w:r>
      <w:r>
        <w:rPr>
          <w:rFonts w:ascii="Times New Roman" w:hAnsi="Times New Roman" w:cs="Times New Roman"/>
          <w:b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февраль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41)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6/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(февраль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115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190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137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ий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122)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(6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(4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</w:t>
      </w:r>
      <w:r>
        <w:rPr>
          <w:rFonts w:ascii="Times New Roman" w:hAnsi="Times New Roman" w:cs="Times New Roman"/>
          <w:i/>
          <w:sz w:val="28"/>
          <w:szCs w:val="28"/>
        </w:rPr>
        <w:t xml:space="preserve">4 – </w:t>
      </w:r>
      <w:r>
        <w:rPr>
          <w:rFonts w:ascii="Times New Roman" w:hAnsi="Times New Roman" w:cs="Times New Roman"/>
          <w:i/>
          <w:sz w:val="28"/>
          <w:szCs w:val="28"/>
        </w:rPr>
        <w:t xml:space="preserve">11)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0 (</w:t>
      </w:r>
      <w:r>
        <w:rPr>
          <w:rFonts w:ascii="Times New Roman" w:hAnsi="Times New Roman" w:cs="Times New Roman"/>
          <w:sz w:val="28"/>
          <w:szCs w:val="28"/>
        </w:rPr>
        <w:t xml:space="preserve"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4– </w:t>
      </w:r>
      <w:r>
        <w:rPr>
          <w:rFonts w:ascii="Times New Roman" w:hAnsi="Times New Roman" w:cs="Times New Roman"/>
          <w:i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212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245 вопрос</w:t>
      </w:r>
      <w:r>
        <w:rPr>
          <w:rFonts w:ascii="Times New Roman" w:hAnsi="Times New Roman" w:cs="Times New Roman"/>
          <w:sz w:val="28"/>
          <w:szCs w:val="28"/>
        </w:rPr>
        <w:t xml:space="preserve">ов,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(11%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19)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16%)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27,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30)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(февраль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– </w:t>
      </w:r>
      <w:r>
        <w:rPr>
          <w:rFonts w:ascii="Times New Roman" w:hAnsi="Times New Roman" w:cs="Times New Roman"/>
          <w:b/>
          <w:sz w:val="28"/>
          <w:szCs w:val="28"/>
        </w:rPr>
        <w:t xml:space="preserve">30 /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19),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16),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10/</w:t>
      </w:r>
      <w:r>
        <w:rPr>
          <w:rFonts w:ascii="Times New Roman" w:hAnsi="Times New Roman" w:cs="Times New Roman"/>
          <w:sz w:val="28"/>
          <w:szCs w:val="28"/>
        </w:rPr>
        <w:t xml:space="preserve">8,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138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56%),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105,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95)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27%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66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42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57)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69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63,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28%)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3-</w:t>
      </w:r>
      <w:r>
        <w:rPr>
          <w:rFonts w:ascii="Times New Roman" w:hAnsi="Times New Roman" w:cs="Times New Roman"/>
          <w:i/>
          <w:sz w:val="28"/>
          <w:szCs w:val="28"/>
        </w:rPr>
        <w:t xml:space="preserve">36)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3/</w:t>
      </w:r>
      <w:r>
        <w:rPr>
          <w:rFonts w:ascii="Times New Roman" w:hAnsi="Times New Roman" w:cs="Times New Roman"/>
          <w:sz w:val="28"/>
          <w:szCs w:val="28"/>
        </w:rPr>
        <w:t xml:space="preserve">0 (1%).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4/</w:t>
      </w:r>
      <w:r>
        <w:rPr>
          <w:rFonts w:ascii="Times New Roman" w:hAnsi="Times New Roman" w:cs="Times New Roman"/>
          <w:sz w:val="28"/>
          <w:szCs w:val="28"/>
        </w:rPr>
        <w:t xml:space="preserve">3 (</w:t>
      </w:r>
      <w:r>
        <w:rPr>
          <w:rFonts w:ascii="Times New Roman" w:hAnsi="Times New Roman" w:cs="Times New Roman"/>
          <w:sz w:val="28"/>
          <w:szCs w:val="28"/>
        </w:rPr>
        <w:t xml:space="preserve">2%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35/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14%),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21)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31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21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4/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176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83%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 xml:space="preserve">(18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 xml:space="preserve">(17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 перебоев в электроснабжении</w:t>
      </w:r>
      <w:r>
        <w:rPr>
          <w:rFonts w:ascii="Times New Roman" w:hAnsi="Times New Roman" w:cs="Times New Roman"/>
          <w:sz w:val="28"/>
          <w:szCs w:val="28"/>
        </w:rPr>
        <w:t xml:space="preserve">, доставки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4"/>
    <w:next w:val="904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basedOn w:val="905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4"/>
    <w:next w:val="904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basedOn w:val="905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4"/>
    <w:next w:val="904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basedOn w:val="905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4"/>
    <w:next w:val="904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basedOn w:val="905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4"/>
    <w:next w:val="904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basedOn w:val="905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4"/>
    <w:next w:val="904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basedOn w:val="905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4"/>
    <w:next w:val="904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basedOn w:val="905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4"/>
    <w:next w:val="904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basedOn w:val="905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4"/>
    <w:next w:val="904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basedOn w:val="905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Title"/>
    <w:basedOn w:val="904"/>
    <w:next w:val="904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basedOn w:val="905"/>
    <w:link w:val="749"/>
    <w:uiPriority w:val="10"/>
    <w:rPr>
      <w:sz w:val="48"/>
      <w:szCs w:val="48"/>
    </w:rPr>
  </w:style>
  <w:style w:type="paragraph" w:styleId="751">
    <w:name w:val="Subtitle"/>
    <w:basedOn w:val="904"/>
    <w:next w:val="904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basedOn w:val="905"/>
    <w:link w:val="751"/>
    <w:uiPriority w:val="11"/>
    <w:rPr>
      <w:sz w:val="24"/>
      <w:szCs w:val="24"/>
    </w:rPr>
  </w:style>
  <w:style w:type="paragraph" w:styleId="753">
    <w:name w:val="Quote"/>
    <w:basedOn w:val="904"/>
    <w:next w:val="904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4"/>
    <w:next w:val="904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character" w:styleId="757">
    <w:name w:val="Header Char"/>
    <w:basedOn w:val="905"/>
    <w:link w:val="911"/>
    <w:uiPriority w:val="99"/>
  </w:style>
  <w:style w:type="character" w:styleId="758">
    <w:name w:val="Footer Char"/>
    <w:basedOn w:val="905"/>
    <w:link w:val="913"/>
    <w:uiPriority w:val="99"/>
  </w:style>
  <w:style w:type="paragraph" w:styleId="759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913"/>
    <w:uiPriority w:val="99"/>
  </w:style>
  <w:style w:type="table" w:styleId="761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0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1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2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3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4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5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7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8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9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0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1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2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4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5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6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7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8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9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basedOn w:val="905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basedOn w:val="905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qFormat/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paragraph" w:styleId="908">
    <w:name w:val="List Paragraph"/>
    <w:basedOn w:val="904"/>
    <w:uiPriority w:val="34"/>
    <w:qFormat/>
    <w:pPr>
      <w:contextualSpacing/>
      <w:ind w:left="720"/>
    </w:pPr>
  </w:style>
  <w:style w:type="paragraph" w:styleId="909">
    <w:name w:val="Balloon Text"/>
    <w:basedOn w:val="904"/>
    <w:link w:val="91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basedOn w:val="905"/>
    <w:link w:val="909"/>
    <w:uiPriority w:val="99"/>
    <w:semiHidden/>
    <w:rPr>
      <w:rFonts w:ascii="Segoe UI" w:hAnsi="Segoe UI" w:cs="Segoe UI"/>
      <w:sz w:val="18"/>
      <w:szCs w:val="18"/>
    </w:rPr>
  </w:style>
  <w:style w:type="paragraph" w:styleId="911">
    <w:name w:val="Header"/>
    <w:basedOn w:val="904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905"/>
    <w:link w:val="911"/>
    <w:uiPriority w:val="99"/>
  </w:style>
  <w:style w:type="paragraph" w:styleId="913">
    <w:name w:val="Footer"/>
    <w:basedOn w:val="904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905"/>
    <w:link w:val="913"/>
    <w:uiPriority w:val="99"/>
  </w:style>
  <w:style w:type="table" w:styleId="915">
    <w:name w:val="Table Grid"/>
    <w:basedOn w:val="906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6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7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8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19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117</cp:revision>
  <dcterms:created xsi:type="dcterms:W3CDTF">2019-08-02T04:06:00Z</dcterms:created>
  <dcterms:modified xsi:type="dcterms:W3CDTF">2024-03-14T03:41:19Z</dcterms:modified>
</cp:coreProperties>
</file>