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июле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381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387,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239 обращени</w:t>
      </w:r>
      <w:r>
        <w:rPr>
          <w:rFonts w:ascii="Times New Roman" w:hAnsi="Times New Roman" w:cs="Times New Roman"/>
          <w:sz w:val="28"/>
          <w:szCs w:val="28"/>
        </w:rPr>
        <w:t xml:space="preserve">й)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341</w:t>
      </w:r>
      <w:r>
        <w:rPr>
          <w:rFonts w:ascii="Times New Roman" w:hAnsi="Times New Roman" w:cs="Times New Roman"/>
          <w:sz w:val="28"/>
          <w:szCs w:val="28"/>
        </w:rPr>
        <w:t xml:space="preserve">/290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июле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219)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107/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125/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июль 202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54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5/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13)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303 </w:t>
      </w:r>
      <w:r>
        <w:rPr>
          <w:rFonts w:ascii="Times New Roman" w:hAnsi="Times New Roman" w:cs="Times New Roman"/>
          <w:sz w:val="28"/>
          <w:szCs w:val="28"/>
        </w:rPr>
        <w:t xml:space="preserve">(89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264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196)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17);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 xml:space="preserve">9);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4– </w:t>
      </w:r>
      <w:r>
        <w:rPr>
          <w:rFonts w:ascii="Times New Roman" w:hAnsi="Times New Roman" w:cs="Times New Roman"/>
          <w:i/>
          <w:sz w:val="28"/>
          <w:szCs w:val="28"/>
        </w:rPr>
        <w:t xml:space="preserve">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341 письменном</w:t>
      </w:r>
      <w:r>
        <w:rPr>
          <w:rFonts w:ascii="Times New Roman" w:hAnsi="Times New Roman" w:cs="Times New Roman"/>
          <w:sz w:val="28"/>
          <w:szCs w:val="28"/>
        </w:rPr>
        <w:t xml:space="preserve"> обращении и запросе содержится 425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46 </w:t>
      </w:r>
      <w:r>
        <w:rPr>
          <w:rFonts w:ascii="Times New Roman" w:hAnsi="Times New Roman" w:cs="Times New Roman"/>
          <w:sz w:val="28"/>
          <w:szCs w:val="28"/>
        </w:rPr>
        <w:t xml:space="preserve">(11%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27,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56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23,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23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(июль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</w:rPr>
        <w:t xml:space="preserve">39 /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19),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13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17/</w:t>
      </w:r>
      <w:r>
        <w:rPr>
          <w:rFonts w:ascii="Times New Roman" w:hAnsi="Times New Roman" w:cs="Times New Roman"/>
          <w:sz w:val="28"/>
          <w:szCs w:val="28"/>
        </w:rPr>
        <w:t xml:space="preserve">4,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230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54%),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220,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144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33%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140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135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76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84/</w:t>
      </w:r>
      <w:r>
        <w:rPr>
          <w:rFonts w:ascii="Times New Roman" w:hAnsi="Times New Roman" w:cs="Times New Roman"/>
          <w:sz w:val="28"/>
          <w:szCs w:val="28"/>
        </w:rPr>
        <w:t xml:space="preserve">82,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3-</w:t>
      </w:r>
      <w:r>
        <w:rPr>
          <w:rFonts w:ascii="Times New Roman" w:hAnsi="Times New Roman" w:cs="Times New Roman"/>
          <w:i/>
          <w:sz w:val="28"/>
          <w:szCs w:val="28"/>
        </w:rPr>
        <w:t xml:space="preserve">61)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6/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sz w:val="28"/>
          <w:szCs w:val="28"/>
        </w:rPr>
        <w:t xml:space="preserve">19/12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4%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(июль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17%),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45)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62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52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12/</w:t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266 (78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99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29%)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>
        <w:rPr>
          <w:rFonts w:ascii="Times New Roman" w:hAnsi="Times New Roman" w:cs="Times New Roman"/>
          <w:sz w:val="28"/>
          <w:szCs w:val="28"/>
        </w:rPr>
        <w:t xml:space="preserve">(22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благоустройство населенных пунктов, содержания и ремонта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123</cp:revision>
  <dcterms:created xsi:type="dcterms:W3CDTF">2019-08-02T04:06:00Z</dcterms:created>
  <dcterms:modified xsi:type="dcterms:W3CDTF">2024-08-12T07:15:56Z</dcterms:modified>
</cp:coreProperties>
</file>