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II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I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1360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807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1061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610)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419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251)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143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 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222)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 36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гражданин)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262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176),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962 </w:t>
      </w:r>
      <w:r>
        <w:rPr>
          <w:rFonts w:ascii="Times New Roman" w:hAnsi="Times New Roman" w:cs="Times New Roman"/>
          <w:sz w:val="28"/>
          <w:szCs w:val="28"/>
        </w:rPr>
        <w:t xml:space="preserve">(91%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530)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39);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1061 письменном обра</w:t>
      </w:r>
      <w:r>
        <w:rPr>
          <w:rFonts w:ascii="Times New Roman" w:hAnsi="Times New Roman" w:cs="Times New Roman"/>
          <w:sz w:val="28"/>
          <w:szCs w:val="28"/>
        </w:rPr>
        <w:t xml:space="preserve">щении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1272 </w:t>
      </w:r>
      <w:r>
        <w:rPr>
          <w:rFonts w:ascii="Times New Roman" w:hAnsi="Times New Roman" w:cs="Times New Roman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97 </w:t>
      </w:r>
      <w:r>
        <w:rPr>
          <w:rFonts w:ascii="Times New Roman" w:hAnsi="Times New Roman" w:cs="Times New Roman"/>
          <w:sz w:val="28"/>
          <w:szCs w:val="28"/>
        </w:rPr>
        <w:t xml:space="preserve">(8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sz w:val="28"/>
          <w:szCs w:val="28"/>
        </w:rPr>
        <w:t xml:space="preserve">76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78)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29),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886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391)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592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280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226)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обращени</w:t>
      </w:r>
      <w:r>
        <w:rPr>
          <w:rFonts w:ascii="Times New Roman" w:hAnsi="Times New Roman" w:cs="Times New Roman"/>
          <w:sz w:val="28"/>
          <w:szCs w:val="28"/>
        </w:rPr>
        <w:t xml:space="preserve">й (1%),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166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(13%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93)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932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88%)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236 </w:t>
      </w:r>
      <w:r>
        <w:rPr>
          <w:rFonts w:ascii="Times New Roman" w:hAnsi="Times New Roman" w:cs="Times New Roman"/>
          <w:sz w:val="28"/>
          <w:szCs w:val="28"/>
        </w:rPr>
        <w:t xml:space="preserve">(22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 (12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во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8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8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16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paragraph" w:styleId="912">
    <w:name w:val="Balloon Text"/>
    <w:basedOn w:val="907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8"/>
    <w:link w:val="912"/>
    <w:uiPriority w:val="99"/>
    <w:semiHidden/>
    <w:rPr>
      <w:rFonts w:ascii="Segoe UI" w:hAnsi="Segoe UI" w:cs="Segoe UI"/>
      <w:sz w:val="18"/>
      <w:szCs w:val="18"/>
    </w:rPr>
  </w:style>
  <w:style w:type="paragraph" w:styleId="914">
    <w:name w:val="Head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7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table" w:styleId="918">
    <w:name w:val="Table Grid"/>
    <w:basedOn w:val="90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2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21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2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68</cp:revision>
  <dcterms:created xsi:type="dcterms:W3CDTF">2019-08-02T04:06:00Z</dcterms:created>
  <dcterms:modified xsi:type="dcterms:W3CDTF">2024-08-12T03:56:16Z</dcterms:modified>
</cp:coreProperties>
</file>