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III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</w:rPr>
        <w:t xml:space="preserve">II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1120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во 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4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1360 обращени</w:t>
      </w:r>
      <w:r>
        <w:rPr>
          <w:rFonts w:ascii="Times New Roman" w:hAnsi="Times New Roman" w:cs="Times New Roman"/>
          <w:i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во 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2024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1061)</w:t>
      </w:r>
      <w:r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339 (</w:t>
      </w:r>
      <w:r>
        <w:rPr>
          <w:rFonts w:ascii="Times New Roman" w:hAnsi="Times New Roman" w:cs="Times New Roman"/>
          <w:i/>
          <w:sz w:val="28"/>
          <w:szCs w:val="28"/>
        </w:rPr>
        <w:t xml:space="preserve">во 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419)</w:t>
      </w:r>
      <w:r>
        <w:rPr>
          <w:rFonts w:ascii="Times New Roman" w:hAnsi="Times New Roman" w:cs="Times New Roman"/>
          <w:sz w:val="28"/>
          <w:szCs w:val="28"/>
        </w:rPr>
        <w:t xml:space="preserve">. Из общественной приемной Губернатора области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305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во II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143)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</w:t>
      </w:r>
      <w:r>
        <w:rPr>
          <w:rFonts w:ascii="Times New Roman" w:hAnsi="Times New Roman" w:cs="Times New Roman"/>
          <w:sz w:val="28"/>
          <w:szCs w:val="28"/>
        </w:rPr>
        <w:t xml:space="preserve">Главы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обратился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 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во 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36 </w:t>
      </w:r>
      <w:r>
        <w:rPr>
          <w:rFonts w:ascii="Times New Roman" w:hAnsi="Times New Roman" w:cs="Times New Roman"/>
          <w:sz w:val="28"/>
          <w:szCs w:val="28"/>
        </w:rPr>
        <w:t xml:space="preserve">граждан)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166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во 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262),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2, (</w:t>
      </w:r>
      <w:r>
        <w:rPr>
          <w:rFonts w:ascii="Times New Roman" w:hAnsi="Times New Roman" w:cs="Times New Roman"/>
          <w:i/>
          <w:sz w:val="28"/>
          <w:szCs w:val="28"/>
        </w:rPr>
        <w:t xml:space="preserve">во 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822 </w:t>
      </w:r>
      <w:r>
        <w:rPr>
          <w:rFonts w:ascii="Times New Roman" w:hAnsi="Times New Roman" w:cs="Times New Roman"/>
          <w:sz w:val="28"/>
          <w:szCs w:val="28"/>
        </w:rPr>
        <w:t xml:space="preserve">(88%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во 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962)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63 </w:t>
      </w:r>
      <w:r>
        <w:rPr>
          <w:rFonts w:ascii="Times New Roman" w:hAnsi="Times New Roman" w:cs="Times New Roman"/>
          <w:sz w:val="28"/>
          <w:szCs w:val="28"/>
        </w:rPr>
        <w:t xml:space="preserve">(7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во 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69);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 42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(5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во 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27)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(менее 1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во 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930 письменных обра</w:t>
      </w:r>
      <w:r>
        <w:rPr>
          <w:rFonts w:ascii="Times New Roman" w:hAnsi="Times New Roman" w:cs="Times New Roman"/>
          <w:sz w:val="28"/>
          <w:szCs w:val="28"/>
        </w:rPr>
        <w:t xml:space="preserve">щениях и запросах содержится </w:t>
      </w:r>
      <w:r>
        <w:rPr>
          <w:rFonts w:ascii="Times New Roman" w:hAnsi="Times New Roman" w:cs="Times New Roman"/>
          <w:sz w:val="28"/>
          <w:szCs w:val="28"/>
        </w:rPr>
        <w:t xml:space="preserve">1127 </w:t>
      </w:r>
      <w:r>
        <w:rPr>
          <w:rFonts w:ascii="Times New Roman" w:hAnsi="Times New Roman" w:cs="Times New Roman"/>
          <w:sz w:val="28"/>
          <w:szCs w:val="28"/>
        </w:rPr>
        <w:t xml:space="preserve">вопросов</w:t>
      </w:r>
      <w:r>
        <w:rPr>
          <w:rFonts w:ascii="Times New Roman" w:hAnsi="Times New Roman" w:cs="Times New Roman"/>
          <w:sz w:val="28"/>
          <w:szCs w:val="28"/>
        </w:rPr>
        <w:t xml:space="preserve">, относящихся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тематическим разделам: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b/>
          <w:sz w:val="28"/>
          <w:szCs w:val="28"/>
        </w:rPr>
        <w:t xml:space="preserve"> 110 </w:t>
      </w:r>
      <w:r>
        <w:rPr>
          <w:rFonts w:ascii="Times New Roman" w:hAnsi="Times New Roman" w:cs="Times New Roman"/>
          <w:sz w:val="28"/>
          <w:szCs w:val="28"/>
        </w:rPr>
        <w:t xml:space="preserve">(10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во II квартале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96)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</w:t>
      </w:r>
      <w:r>
        <w:rPr>
          <w:rFonts w:ascii="Times New Roman" w:hAnsi="Times New Roman" w:cs="Times New Roman"/>
          <w:sz w:val="28"/>
          <w:szCs w:val="28"/>
        </w:rPr>
        <w:t xml:space="preserve">ка</w:t>
      </w:r>
      <w:r>
        <w:rPr>
          <w:rFonts w:ascii="Times New Roman" w:hAnsi="Times New Roman" w:cs="Times New Roman"/>
          <w:sz w:val="28"/>
          <w:szCs w:val="28"/>
        </w:rPr>
        <w:t xml:space="preserve">я культура и спорт, туризм) –</w:t>
      </w:r>
      <w:r>
        <w:rPr>
          <w:rFonts w:ascii="Times New Roman" w:hAnsi="Times New Roman" w:cs="Times New Roman"/>
          <w:b/>
          <w:sz w:val="28"/>
          <w:szCs w:val="28"/>
        </w:rPr>
        <w:t xml:space="preserve"> 142 </w:t>
      </w:r>
      <w:r>
        <w:rPr>
          <w:rFonts w:ascii="Times New Roman" w:hAnsi="Times New Roman" w:cs="Times New Roman"/>
          <w:sz w:val="28"/>
          <w:szCs w:val="28"/>
        </w:rPr>
        <w:t xml:space="preserve">(13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во 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97)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106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во 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76)</w:t>
      </w:r>
      <w:r>
        <w:rPr>
          <w:rFonts w:ascii="Times New Roman" w:hAnsi="Times New Roman" w:cs="Times New Roman"/>
          <w:i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- вопросам доставки обучающихся;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обеспечению местами в детских дошкольных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улучшению условий проведения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конфликтным ситуациям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труда и занятости, семьи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36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во II квартале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20), по вопросам оказания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выплаты пособий и компенсаций</w:t>
      </w:r>
      <w:r>
        <w:rPr>
          <w:rFonts w:ascii="Times New Roman" w:hAnsi="Times New Roman" w:cs="Times New Roman"/>
          <w:sz w:val="28"/>
          <w:szCs w:val="28"/>
        </w:rPr>
        <w:t xml:space="preserve">, предоставления дополнительных льгот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 xml:space="preserve">, с</w:t>
      </w:r>
      <w:r>
        <w:rPr>
          <w:rFonts w:ascii="Times New Roman" w:hAnsi="Times New Roman" w:cs="Times New Roman"/>
          <w:sz w:val="28"/>
          <w:szCs w:val="28"/>
        </w:rPr>
        <w:t xml:space="preserve">оциально</w:t>
      </w:r>
      <w:r>
        <w:rPr>
          <w:rFonts w:ascii="Times New Roman" w:hAnsi="Times New Roman" w:cs="Times New Roman"/>
          <w:sz w:val="28"/>
          <w:szCs w:val="28"/>
        </w:rPr>
        <w:t xml:space="preserve">го обеспечения, социальной поддержки и социальной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семьям, имеющим детей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многодетным семьям, надзора и контроля в сфере </w:t>
      </w:r>
      <w:r>
        <w:rPr>
          <w:rFonts w:ascii="Times New Roman" w:hAnsi="Times New Roman" w:cs="Times New Roman"/>
          <w:sz w:val="28"/>
          <w:szCs w:val="28"/>
        </w:rPr>
        <w:t xml:space="preserve">трудовых правоотношений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 xml:space="preserve">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b/>
          <w:sz w:val="28"/>
          <w:szCs w:val="28"/>
        </w:rPr>
        <w:t xml:space="preserve">624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55%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во 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886)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</w:t>
      </w:r>
      <w:r>
        <w:rPr>
          <w:rFonts w:ascii="Times New Roman" w:hAnsi="Times New Roman" w:cs="Times New Roman"/>
          <w:sz w:val="28"/>
          <w:szCs w:val="28"/>
        </w:rPr>
        <w:t xml:space="preserve">канализование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34</w:t>
      </w:r>
      <w:r>
        <w:rPr>
          <w:rFonts w:ascii="Times New Roman" w:hAnsi="Times New Roman" w:cs="Times New Roman"/>
          <w:b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</w:rPr>
        <w:t xml:space="preserve"> 384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во 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592).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</w:t>
      </w:r>
      <w:r>
        <w:rPr>
          <w:rFonts w:ascii="Times New Roman" w:hAnsi="Times New Roman" w:cs="Times New Roman"/>
          <w:sz w:val="28"/>
          <w:szCs w:val="28"/>
        </w:rPr>
        <w:t xml:space="preserve">ков, разрешение земельных споров</w:t>
      </w:r>
      <w:r>
        <w:rPr>
          <w:rFonts w:ascii="Times New Roman" w:hAnsi="Times New Roman" w:cs="Times New Roman"/>
          <w:sz w:val="28"/>
          <w:szCs w:val="28"/>
        </w:rPr>
        <w:t xml:space="preserve">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 227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 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, (</w:t>
      </w:r>
      <w:r>
        <w:rPr>
          <w:rFonts w:ascii="Times New Roman" w:hAnsi="Times New Roman" w:cs="Times New Roman"/>
          <w:i/>
          <w:sz w:val="28"/>
          <w:szCs w:val="28"/>
        </w:rPr>
        <w:t xml:space="preserve">во II квартале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280)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ам информационных технологий</w:t>
      </w:r>
      <w:r>
        <w:rPr>
          <w:rFonts w:ascii="Times New Roman" w:hAnsi="Times New Roman" w:cs="Times New Roman"/>
          <w:b/>
          <w:sz w:val="28"/>
          <w:szCs w:val="28"/>
        </w:rPr>
        <w:t xml:space="preserve">, финансов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(Информация, архивные документы,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размещение рекламы</w:t>
      </w:r>
      <w:r>
        <w:rPr>
          <w:rFonts w:ascii="Times New Roman" w:hAnsi="Times New Roman" w:cs="Times New Roman"/>
          <w:b/>
          <w:sz w:val="28"/>
          <w:szCs w:val="28"/>
        </w:rPr>
        <w:t xml:space="preserve">, финансы, налоги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й (1%), (</w:t>
      </w:r>
      <w:r>
        <w:rPr>
          <w:rFonts w:ascii="Times New Roman" w:hAnsi="Times New Roman" w:cs="Times New Roman"/>
          <w:i/>
          <w:sz w:val="28"/>
          <w:szCs w:val="28"/>
        </w:rPr>
        <w:t xml:space="preserve">во 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1</w:t>
      </w:r>
      <w:r>
        <w:rPr>
          <w:rFonts w:ascii="Times New Roman" w:hAnsi="Times New Roman" w:cs="Times New Roman"/>
          <w:sz w:val="28"/>
          <w:szCs w:val="28"/>
        </w:rPr>
        <w:t xml:space="preserve">4)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3%)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во 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27)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211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(19%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во 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166)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Граждане обращались по вопросам к</w:t>
      </w:r>
      <w:r>
        <w:rPr>
          <w:rFonts w:ascii="Times New Roman" w:hAnsi="Times New Roman" w:cs="Times New Roman"/>
          <w:sz w:val="28"/>
          <w:szCs w:val="28"/>
        </w:rPr>
        <w:t xml:space="preserve">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), обеспечение граждан жилищем,</w:t>
      </w:r>
      <w:r>
        <w:rPr>
          <w:rFonts w:ascii="Times New Roman" w:hAnsi="Times New Roman" w:cs="Times New Roman"/>
          <w:sz w:val="28"/>
          <w:szCs w:val="28"/>
        </w:rPr>
        <w:t xml:space="preserve"> нежилые помещения, </w:t>
      </w:r>
      <w:r>
        <w:rPr>
          <w:rFonts w:ascii="Times New Roman" w:hAnsi="Times New Roman" w:cs="Times New Roman"/>
          <w:sz w:val="28"/>
          <w:szCs w:val="28"/>
        </w:rPr>
        <w:t xml:space="preserve">жилищный фонд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</w:t>
      </w:r>
      <w:r>
        <w:rPr>
          <w:rFonts w:ascii="Times New Roman" w:hAnsi="Times New Roman" w:cs="Times New Roman"/>
          <w:sz w:val="28"/>
          <w:szCs w:val="28"/>
        </w:rPr>
        <w:t xml:space="preserve">ссмотрения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794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85%)</w:t>
      </w:r>
      <w:r>
        <w:rPr>
          <w:rFonts w:ascii="Times New Roman" w:hAnsi="Times New Roman" w:cs="Times New Roman"/>
          <w:sz w:val="28"/>
          <w:szCs w:val="28"/>
        </w:rPr>
        <w:t xml:space="preserve"> обращениям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247 </w:t>
      </w:r>
      <w:r>
        <w:rPr>
          <w:rFonts w:ascii="Times New Roman" w:hAnsi="Times New Roman" w:cs="Times New Roman"/>
          <w:sz w:val="28"/>
          <w:szCs w:val="28"/>
        </w:rPr>
        <w:t xml:space="preserve">(27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направлены по компетенции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136</w:t>
      </w:r>
      <w:r>
        <w:rPr>
          <w:rFonts w:ascii="Times New Roman" w:hAnsi="Times New Roman" w:cs="Times New Roman"/>
          <w:sz w:val="28"/>
          <w:szCs w:val="28"/>
        </w:rPr>
        <w:t xml:space="preserve"> (15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 администрации Новосибирского района, уполномоченным вести личный приём,</w:t>
      </w:r>
      <w:r>
        <w:rPr>
          <w:rFonts w:ascii="Times New Roman" w:hAnsi="Times New Roman" w:cs="Times New Roman"/>
          <w:sz w:val="28"/>
          <w:szCs w:val="28"/>
        </w:rPr>
        <w:t xml:space="preserve"> во 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квартале 2024</w:t>
      </w:r>
      <w:r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 xml:space="preserve">гражданина</w:t>
      </w:r>
      <w:r>
        <w:rPr>
          <w:rFonts w:ascii="Times New Roman" w:hAnsi="Times New Roman" w:cs="Times New Roman"/>
          <w:sz w:val="28"/>
          <w:szCs w:val="28"/>
        </w:rPr>
        <w:t xml:space="preserve">. Личный приём проводился </w:t>
      </w:r>
      <w:r>
        <w:rPr>
          <w:rFonts w:ascii="Times New Roman" w:hAnsi="Times New Roman" w:cs="Times New Roman"/>
          <w:sz w:val="28"/>
          <w:szCs w:val="28"/>
        </w:rPr>
        <w:t xml:space="preserve">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земель </w:t>
      </w:r>
      <w:r>
        <w:rPr>
          <w:rFonts w:ascii="Times New Roman" w:hAnsi="Times New Roman" w:cs="Times New Roman"/>
          <w:sz w:val="28"/>
          <w:szCs w:val="28"/>
        </w:rPr>
        <w:t xml:space="preserve">и рассмотрения земельных споров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арендных отнош</w:t>
      </w:r>
      <w:r>
        <w:rPr>
          <w:rFonts w:ascii="Times New Roman" w:hAnsi="Times New Roman" w:cs="Times New Roman"/>
          <w:sz w:val="28"/>
          <w:szCs w:val="28"/>
        </w:rPr>
        <w:t xml:space="preserve">ений в области землепользования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эксплуатации и сохранности автомобильных дорог, транспортного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улучшения жилищных условий, социального обеспечения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 Личный прием проводился с соблюдением дополнительных мер по снижению риска распространения новой коронавирусной инфекции.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568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91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9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5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>
    <w:name w:val="Heading 1"/>
    <w:basedOn w:val="907"/>
    <w:next w:val="907"/>
    <w:link w:val="7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5">
    <w:name w:val="Heading 1 Char"/>
    <w:basedOn w:val="908"/>
    <w:link w:val="734"/>
    <w:uiPriority w:val="9"/>
    <w:rPr>
      <w:rFonts w:ascii="Arial" w:hAnsi="Arial" w:eastAsia="Arial" w:cs="Arial"/>
      <w:sz w:val="40"/>
      <w:szCs w:val="40"/>
    </w:rPr>
  </w:style>
  <w:style w:type="paragraph" w:styleId="736">
    <w:name w:val="Heading 2"/>
    <w:basedOn w:val="907"/>
    <w:next w:val="907"/>
    <w:link w:val="7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7">
    <w:name w:val="Heading 2 Char"/>
    <w:basedOn w:val="908"/>
    <w:link w:val="736"/>
    <w:uiPriority w:val="9"/>
    <w:rPr>
      <w:rFonts w:ascii="Arial" w:hAnsi="Arial" w:eastAsia="Arial" w:cs="Arial"/>
      <w:sz w:val="34"/>
    </w:rPr>
  </w:style>
  <w:style w:type="paragraph" w:styleId="738">
    <w:name w:val="Heading 3"/>
    <w:basedOn w:val="907"/>
    <w:next w:val="907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9">
    <w:name w:val="Heading 3 Char"/>
    <w:basedOn w:val="908"/>
    <w:link w:val="738"/>
    <w:uiPriority w:val="9"/>
    <w:rPr>
      <w:rFonts w:ascii="Arial" w:hAnsi="Arial" w:eastAsia="Arial" w:cs="Arial"/>
      <w:sz w:val="30"/>
      <w:szCs w:val="30"/>
    </w:rPr>
  </w:style>
  <w:style w:type="paragraph" w:styleId="740">
    <w:name w:val="Heading 4"/>
    <w:basedOn w:val="907"/>
    <w:next w:val="907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1">
    <w:name w:val="Heading 4 Char"/>
    <w:basedOn w:val="908"/>
    <w:link w:val="740"/>
    <w:uiPriority w:val="9"/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907"/>
    <w:next w:val="907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3">
    <w:name w:val="Heading 5 Char"/>
    <w:basedOn w:val="908"/>
    <w:link w:val="742"/>
    <w:uiPriority w:val="9"/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907"/>
    <w:next w:val="907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5">
    <w:name w:val="Heading 6 Char"/>
    <w:basedOn w:val="908"/>
    <w:link w:val="744"/>
    <w:uiPriority w:val="9"/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907"/>
    <w:next w:val="907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7 Char"/>
    <w:basedOn w:val="908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907"/>
    <w:next w:val="907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9">
    <w:name w:val="Heading 8 Char"/>
    <w:basedOn w:val="908"/>
    <w:link w:val="748"/>
    <w:uiPriority w:val="9"/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907"/>
    <w:next w:val="907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>
    <w:name w:val="Heading 9 Char"/>
    <w:basedOn w:val="908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Title"/>
    <w:basedOn w:val="907"/>
    <w:next w:val="907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basedOn w:val="908"/>
    <w:link w:val="752"/>
    <w:uiPriority w:val="10"/>
    <w:rPr>
      <w:sz w:val="48"/>
      <w:szCs w:val="48"/>
    </w:rPr>
  </w:style>
  <w:style w:type="paragraph" w:styleId="754">
    <w:name w:val="Subtitle"/>
    <w:basedOn w:val="907"/>
    <w:next w:val="907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basedOn w:val="908"/>
    <w:link w:val="754"/>
    <w:uiPriority w:val="11"/>
    <w:rPr>
      <w:sz w:val="24"/>
      <w:szCs w:val="24"/>
    </w:rPr>
  </w:style>
  <w:style w:type="paragraph" w:styleId="756">
    <w:name w:val="Quote"/>
    <w:basedOn w:val="907"/>
    <w:next w:val="907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07"/>
    <w:next w:val="907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character" w:styleId="760">
    <w:name w:val="Header Char"/>
    <w:basedOn w:val="908"/>
    <w:link w:val="914"/>
    <w:uiPriority w:val="99"/>
  </w:style>
  <w:style w:type="character" w:styleId="761">
    <w:name w:val="Footer Char"/>
    <w:basedOn w:val="908"/>
    <w:link w:val="916"/>
    <w:uiPriority w:val="99"/>
  </w:style>
  <w:style w:type="paragraph" w:styleId="762">
    <w:name w:val="Caption"/>
    <w:basedOn w:val="907"/>
    <w:next w:val="9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3">
    <w:name w:val="Caption Char"/>
    <w:basedOn w:val="762"/>
    <w:link w:val="916"/>
    <w:uiPriority w:val="99"/>
  </w:style>
  <w:style w:type="table" w:styleId="764">
    <w:name w:val="Table Grid Light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>
    <w:name w:val="Grid Table 4 - Accent 1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3">
    <w:name w:val="Grid Table 4 - Accent 2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Grid Table 4 - Accent 3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5">
    <w:name w:val="Grid Table 4 - Accent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Grid Table 4 - Accent 5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7">
    <w:name w:val="Grid Table 4 - Accent 6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8">
    <w:name w:val="Grid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5">
    <w:name w:val="Grid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6">
    <w:name w:val="Grid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7">
    <w:name w:val="Grid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8">
    <w:name w:val="Grid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9">
    <w:name w:val="Grid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0">
    <w:name w:val="Grid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7">
    <w:name w:val="List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8">
    <w:name w:val="List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9">
    <w:name w:val="List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0">
    <w:name w:val="List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1">
    <w:name w:val="List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2">
    <w:name w:val="List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5">
    <w:name w:val="List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6">
    <w:name w:val="List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7">
    <w:name w:val="List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8">
    <w:name w:val="List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9">
    <w:name w:val="List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0">
    <w:name w:val="List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1">
    <w:name w:val="List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2">
    <w:name w:val="List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3">
    <w:name w:val="List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4">
    <w:name w:val="List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5">
    <w:name w:val="List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6">
    <w:name w:val="List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7">
    <w:name w:val="List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8">
    <w:name w:val="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0">
    <w:name w:val="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1">
    <w:name w:val="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2">
    <w:name w:val="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3">
    <w:name w:val="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4">
    <w:name w:val="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5">
    <w:name w:val="Bordered &amp; 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Bordered &amp; 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7">
    <w:name w:val="Bordered &amp; 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8">
    <w:name w:val="Bordered &amp; 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9">
    <w:name w:val="Bordered &amp; 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0">
    <w:name w:val="Bordered &amp; 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1">
    <w:name w:val="Bordered &amp; 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2">
    <w:name w:val="Bordered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3">
    <w:name w:val="Bordered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4">
    <w:name w:val="Bordered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5">
    <w:name w:val="Bordered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6">
    <w:name w:val="Bordered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7">
    <w:name w:val="Bordered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8">
    <w:name w:val="Bordered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9">
    <w:name w:val="Hyperlink"/>
    <w:uiPriority w:val="99"/>
    <w:unhideWhenUsed/>
    <w:rPr>
      <w:color w:val="0000ff" w:themeColor="hyperlink"/>
      <w:u w:val="single"/>
    </w:rPr>
  </w:style>
  <w:style w:type="paragraph" w:styleId="890">
    <w:name w:val="footnote text"/>
    <w:basedOn w:val="907"/>
    <w:link w:val="891"/>
    <w:uiPriority w:val="99"/>
    <w:semiHidden/>
    <w:unhideWhenUsed/>
    <w:pPr>
      <w:spacing w:after="40" w:line="240" w:lineRule="auto"/>
    </w:pPr>
    <w:rPr>
      <w:sz w:val="18"/>
    </w:rPr>
  </w:style>
  <w:style w:type="character" w:styleId="891">
    <w:name w:val="Footnote Text Char"/>
    <w:link w:val="890"/>
    <w:uiPriority w:val="99"/>
    <w:rPr>
      <w:sz w:val="18"/>
    </w:rPr>
  </w:style>
  <w:style w:type="character" w:styleId="892">
    <w:name w:val="footnote reference"/>
    <w:basedOn w:val="908"/>
    <w:uiPriority w:val="99"/>
    <w:unhideWhenUsed/>
    <w:rPr>
      <w:vertAlign w:val="superscript"/>
    </w:rPr>
  </w:style>
  <w:style w:type="paragraph" w:styleId="893">
    <w:name w:val="endnote text"/>
    <w:basedOn w:val="907"/>
    <w:link w:val="894"/>
    <w:uiPriority w:val="99"/>
    <w:semiHidden/>
    <w:unhideWhenUsed/>
    <w:pPr>
      <w:spacing w:after="0" w:line="240" w:lineRule="auto"/>
    </w:pPr>
    <w:rPr>
      <w:sz w:val="20"/>
    </w:rPr>
  </w:style>
  <w:style w:type="character" w:styleId="894">
    <w:name w:val="Endnote Text Char"/>
    <w:link w:val="893"/>
    <w:uiPriority w:val="99"/>
    <w:rPr>
      <w:sz w:val="20"/>
    </w:rPr>
  </w:style>
  <w:style w:type="character" w:styleId="895">
    <w:name w:val="endnote reference"/>
    <w:basedOn w:val="908"/>
    <w:uiPriority w:val="99"/>
    <w:semiHidden/>
    <w:unhideWhenUsed/>
    <w:rPr>
      <w:vertAlign w:val="superscript"/>
    </w:rPr>
  </w:style>
  <w:style w:type="paragraph" w:styleId="896">
    <w:name w:val="toc 1"/>
    <w:basedOn w:val="907"/>
    <w:next w:val="907"/>
    <w:uiPriority w:val="39"/>
    <w:unhideWhenUsed/>
    <w:pPr>
      <w:ind w:left="0" w:right="0" w:firstLine="0"/>
      <w:spacing w:after="57"/>
    </w:pPr>
  </w:style>
  <w:style w:type="paragraph" w:styleId="897">
    <w:name w:val="toc 2"/>
    <w:basedOn w:val="907"/>
    <w:next w:val="907"/>
    <w:uiPriority w:val="39"/>
    <w:unhideWhenUsed/>
    <w:pPr>
      <w:ind w:left="283" w:right="0" w:firstLine="0"/>
      <w:spacing w:after="57"/>
    </w:pPr>
  </w:style>
  <w:style w:type="paragraph" w:styleId="898">
    <w:name w:val="toc 3"/>
    <w:basedOn w:val="907"/>
    <w:next w:val="907"/>
    <w:uiPriority w:val="39"/>
    <w:unhideWhenUsed/>
    <w:pPr>
      <w:ind w:left="567" w:right="0" w:firstLine="0"/>
      <w:spacing w:after="57"/>
    </w:pPr>
  </w:style>
  <w:style w:type="paragraph" w:styleId="899">
    <w:name w:val="toc 4"/>
    <w:basedOn w:val="907"/>
    <w:next w:val="907"/>
    <w:uiPriority w:val="39"/>
    <w:unhideWhenUsed/>
    <w:pPr>
      <w:ind w:left="850" w:right="0" w:firstLine="0"/>
      <w:spacing w:after="57"/>
    </w:pPr>
  </w:style>
  <w:style w:type="paragraph" w:styleId="900">
    <w:name w:val="toc 5"/>
    <w:basedOn w:val="907"/>
    <w:next w:val="907"/>
    <w:uiPriority w:val="39"/>
    <w:unhideWhenUsed/>
    <w:pPr>
      <w:ind w:left="1134" w:right="0" w:firstLine="0"/>
      <w:spacing w:after="57"/>
    </w:pPr>
  </w:style>
  <w:style w:type="paragraph" w:styleId="901">
    <w:name w:val="toc 6"/>
    <w:basedOn w:val="907"/>
    <w:next w:val="907"/>
    <w:uiPriority w:val="39"/>
    <w:unhideWhenUsed/>
    <w:pPr>
      <w:ind w:left="1417" w:right="0" w:firstLine="0"/>
      <w:spacing w:after="57"/>
    </w:pPr>
  </w:style>
  <w:style w:type="paragraph" w:styleId="902">
    <w:name w:val="toc 7"/>
    <w:basedOn w:val="907"/>
    <w:next w:val="907"/>
    <w:uiPriority w:val="39"/>
    <w:unhideWhenUsed/>
    <w:pPr>
      <w:ind w:left="1701" w:right="0" w:firstLine="0"/>
      <w:spacing w:after="57"/>
    </w:pPr>
  </w:style>
  <w:style w:type="paragraph" w:styleId="903">
    <w:name w:val="toc 8"/>
    <w:basedOn w:val="907"/>
    <w:next w:val="907"/>
    <w:uiPriority w:val="39"/>
    <w:unhideWhenUsed/>
    <w:pPr>
      <w:ind w:left="1984" w:right="0" w:firstLine="0"/>
      <w:spacing w:after="57"/>
    </w:pPr>
  </w:style>
  <w:style w:type="paragraph" w:styleId="904">
    <w:name w:val="toc 9"/>
    <w:basedOn w:val="907"/>
    <w:next w:val="907"/>
    <w:uiPriority w:val="39"/>
    <w:unhideWhenUsed/>
    <w:pPr>
      <w:ind w:left="2268" w:right="0" w:firstLine="0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907"/>
    <w:next w:val="907"/>
    <w:uiPriority w:val="99"/>
    <w:unhideWhenUsed/>
    <w:pPr>
      <w:spacing w:after="0" w:afterAutospacing="0"/>
    </w:pPr>
  </w:style>
  <w:style w:type="paragraph" w:styleId="907" w:default="1">
    <w:name w:val="Normal"/>
    <w:qFormat/>
  </w:style>
  <w:style w:type="character" w:styleId="908" w:default="1">
    <w:name w:val="Default Paragraph Font"/>
    <w:uiPriority w:val="1"/>
    <w:semiHidden/>
    <w:unhideWhenUsed/>
  </w:style>
  <w:style w:type="table" w:styleId="9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0" w:default="1">
    <w:name w:val="No List"/>
    <w:uiPriority w:val="99"/>
    <w:semiHidden/>
    <w:unhideWhenUsed/>
  </w:style>
  <w:style w:type="paragraph" w:styleId="911">
    <w:name w:val="List Paragraph"/>
    <w:basedOn w:val="907"/>
    <w:uiPriority w:val="34"/>
    <w:qFormat/>
    <w:pPr>
      <w:contextualSpacing/>
      <w:ind w:left="720"/>
    </w:pPr>
  </w:style>
  <w:style w:type="paragraph" w:styleId="912">
    <w:name w:val="Balloon Text"/>
    <w:basedOn w:val="907"/>
    <w:link w:val="91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3" w:customStyle="1">
    <w:name w:val="Текст выноски Знак"/>
    <w:basedOn w:val="908"/>
    <w:link w:val="912"/>
    <w:uiPriority w:val="99"/>
    <w:semiHidden/>
    <w:rPr>
      <w:rFonts w:ascii="Segoe UI" w:hAnsi="Segoe UI" w:cs="Segoe UI"/>
      <w:sz w:val="18"/>
      <w:szCs w:val="18"/>
    </w:rPr>
  </w:style>
  <w:style w:type="paragraph" w:styleId="914">
    <w:name w:val="Header"/>
    <w:basedOn w:val="907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Верхний колонтитул Знак"/>
    <w:basedOn w:val="908"/>
    <w:link w:val="914"/>
    <w:uiPriority w:val="99"/>
  </w:style>
  <w:style w:type="paragraph" w:styleId="916">
    <w:name w:val="Footer"/>
    <w:basedOn w:val="907"/>
    <w:link w:val="91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7" w:customStyle="1">
    <w:name w:val="Нижний колонтитул Знак"/>
    <w:basedOn w:val="908"/>
    <w:link w:val="916"/>
    <w:uiPriority w:val="99"/>
  </w:style>
  <w:style w:type="table" w:styleId="918">
    <w:name w:val="Table Grid"/>
    <w:basedOn w:val="90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9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920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921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922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5080C-9F92-42A2-B628-16147812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revision>69</cp:revision>
  <dcterms:created xsi:type="dcterms:W3CDTF">2019-08-02T04:06:00Z</dcterms:created>
  <dcterms:modified xsi:type="dcterms:W3CDTF">2024-10-31T04:20:11Z</dcterms:modified>
</cp:coreProperties>
</file>